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margin" w:tblpXSpec="center" w:tblpY="9"/>
        <w:tblW w:w="10042" w:type="dxa"/>
        <w:jc w:val="center"/>
        <w:tblBorders>
          <w:top w:val="single" w:color="7B7B7B" w:themeColor="accent3" w:themeShade="BF" w:sz="8" w:space="0"/>
          <w:left w:val="single" w:color="7B7B7B" w:themeColor="accent3" w:themeShade="BF" w:sz="8" w:space="0"/>
          <w:bottom w:val="single" w:color="7B7B7B" w:themeColor="accent3" w:themeShade="BF" w:sz="8" w:space="0"/>
          <w:right w:val="single" w:color="7B7B7B" w:themeColor="accent3" w:themeShade="BF" w:sz="8" w:space="0"/>
          <w:insideH w:val="single" w:color="7B7B7B" w:themeColor="accent3" w:themeShade="BF" w:sz="8" w:space="0"/>
          <w:insideV w:val="single" w:color="7B7B7B" w:themeColor="accent3" w:themeShade="BF" w:sz="8" w:space="0"/>
        </w:tblBorders>
        <w:shd w:val="clear" w:color="auto" w:fill="FFFFFF"/>
        <w:tblLayout w:type="fixed"/>
        <w:tblCellMar>
          <w:top w:w="0" w:type="dxa"/>
          <w:left w:w="108" w:type="dxa"/>
          <w:bottom w:w="0" w:type="dxa"/>
          <w:right w:w="108" w:type="dxa"/>
        </w:tblCellMar>
      </w:tblPr>
      <w:tblGrid>
        <w:gridCol w:w="659"/>
        <w:gridCol w:w="7727"/>
        <w:gridCol w:w="1334"/>
        <w:gridCol w:w="322"/>
      </w:tblGrid>
      <w:tr w14:paraId="48D21A7E">
        <w:tblPrEx>
          <w:tblBorders>
            <w:top w:val="single" w:color="7B7B7B" w:themeColor="accent3" w:themeShade="BF" w:sz="8" w:space="0"/>
            <w:left w:val="single" w:color="7B7B7B" w:themeColor="accent3" w:themeShade="BF" w:sz="8" w:space="0"/>
            <w:bottom w:val="single" w:color="7B7B7B" w:themeColor="accent3" w:themeShade="BF" w:sz="8" w:space="0"/>
            <w:right w:val="single" w:color="7B7B7B" w:themeColor="accent3" w:themeShade="BF" w:sz="8" w:space="0"/>
            <w:insideH w:val="single" w:color="7B7B7B" w:themeColor="accent3" w:themeShade="BF" w:sz="8" w:space="0"/>
            <w:insideV w:val="single" w:color="7B7B7B" w:themeColor="accent3" w:themeShade="BF" w:sz="8" w:space="0"/>
          </w:tblBorders>
          <w:shd w:val="clear" w:color="auto" w:fill="FFFFFF"/>
          <w:tblCellMar>
            <w:top w:w="0" w:type="dxa"/>
            <w:left w:w="108" w:type="dxa"/>
            <w:bottom w:w="0" w:type="dxa"/>
            <w:right w:w="108" w:type="dxa"/>
          </w:tblCellMar>
        </w:tblPrEx>
        <w:trPr>
          <w:gridAfter w:val="1"/>
          <w:wAfter w:w="322" w:type="dxa"/>
          <w:jc w:val="center"/>
        </w:trPr>
        <w:tc>
          <w:tcPr>
            <w:tcW w:w="9720" w:type="dxa"/>
            <w:gridSpan w:val="3"/>
            <w:tcBorders>
              <w:tl2br w:val="nil"/>
              <w:tr2bl w:val="nil"/>
            </w:tcBorders>
            <w:shd w:val="clear" w:color="auto" w:fill="4472C4" w:themeFill="accent5"/>
            <w:noWrap w:val="0"/>
            <w:vAlign w:val="top"/>
          </w:tcPr>
          <w:p w14:paraId="4305F3F8">
            <w:pPr>
              <w:jc w:val="center"/>
              <w:rPr>
                <w:rFonts w:hint="eastAsia" w:ascii="微软雅黑" w:hAnsi="微软雅黑" w:eastAsia="微软雅黑" w:cs="宋体"/>
                <w:b/>
                <w:bCs/>
                <w:color w:val="FFFFFF" w:themeColor="background1"/>
                <w:sz w:val="32"/>
                <w:szCs w:val="32"/>
                <w14:textFill>
                  <w14:solidFill>
                    <w14:schemeClr w14:val="bg1"/>
                  </w14:solidFill>
                </w14:textFill>
              </w:rPr>
            </w:pPr>
            <w:bookmarkStart w:id="0" w:name="_GoBack"/>
            <w:bookmarkEnd w:id="0"/>
            <w:r>
              <w:rPr>
                <w:rFonts w:hint="eastAsia" w:ascii="微软雅黑" w:hAnsi="微软雅黑" w:eastAsia="微软雅黑" w:cs="宋体"/>
                <w:b/>
                <w:bCs/>
                <w:color w:val="FFFFFF" w:themeColor="background1"/>
                <w:sz w:val="32"/>
                <w:szCs w:val="32"/>
                <w:lang w:val="en-US" w:eastAsia="zh-CN"/>
                <w14:textFill>
                  <w14:solidFill>
                    <w14:schemeClr w14:val="bg1"/>
                  </w14:solidFill>
                </w14:textFill>
              </w:rPr>
              <w:t>曼谷芭提雅金沙岛双飞6</w:t>
            </w:r>
            <w:r>
              <w:rPr>
                <w:rFonts w:hint="eastAsia" w:ascii="微软雅黑" w:hAnsi="微软雅黑" w:eastAsia="微软雅黑" w:cs="宋体"/>
                <w:b/>
                <w:bCs/>
                <w:color w:val="FFFFFF" w:themeColor="background1"/>
                <w:sz w:val="32"/>
                <w:szCs w:val="32"/>
                <w14:textFill>
                  <w14:solidFill>
                    <w14:schemeClr w14:val="bg1"/>
                  </w14:solidFill>
                </w14:textFill>
              </w:rPr>
              <w:t>天</w:t>
            </w:r>
            <w:r>
              <w:rPr>
                <w:rFonts w:hint="eastAsia" w:ascii="微软雅黑" w:hAnsi="微软雅黑" w:eastAsia="微软雅黑" w:cs="微软雅黑"/>
                <w:b/>
                <w:bCs/>
                <w:color w:val="FFFFFF" w:themeColor="background1"/>
                <w:sz w:val="32"/>
                <w:szCs w:val="32"/>
                <w14:textFill>
                  <w14:solidFill>
                    <w14:schemeClr w14:val="bg1"/>
                  </w14:solidFill>
                </w14:textFill>
              </w:rPr>
              <w:t>＜广州直飞＞</w:t>
            </w:r>
          </w:p>
        </w:tc>
      </w:tr>
      <w:tr w14:paraId="00840DA7">
        <w:tblPrEx>
          <w:tblBorders>
            <w:top w:val="single" w:color="7B7B7B" w:themeColor="accent3" w:themeShade="BF" w:sz="8" w:space="0"/>
            <w:left w:val="single" w:color="7B7B7B" w:themeColor="accent3" w:themeShade="BF" w:sz="8" w:space="0"/>
            <w:bottom w:val="single" w:color="7B7B7B" w:themeColor="accent3" w:themeShade="BF" w:sz="8" w:space="0"/>
            <w:right w:val="single" w:color="7B7B7B" w:themeColor="accent3" w:themeShade="BF" w:sz="8" w:space="0"/>
            <w:insideH w:val="single" w:color="7B7B7B" w:themeColor="accent3" w:themeShade="BF" w:sz="8" w:space="0"/>
            <w:insideV w:val="single" w:color="7B7B7B" w:themeColor="accent3" w:themeShade="BF" w:sz="8" w:space="0"/>
          </w:tblBorders>
          <w:shd w:val="clear" w:color="auto" w:fill="FFFFFF"/>
          <w:tblCellMar>
            <w:top w:w="0" w:type="dxa"/>
            <w:left w:w="108" w:type="dxa"/>
            <w:bottom w:w="0" w:type="dxa"/>
            <w:right w:w="108" w:type="dxa"/>
          </w:tblCellMar>
        </w:tblPrEx>
        <w:trPr>
          <w:gridAfter w:val="1"/>
          <w:wAfter w:w="322" w:type="dxa"/>
          <w:jc w:val="center"/>
        </w:trPr>
        <w:tc>
          <w:tcPr>
            <w:tcW w:w="9720" w:type="dxa"/>
            <w:gridSpan w:val="3"/>
            <w:tcBorders>
              <w:tl2br w:val="nil"/>
              <w:tr2bl w:val="nil"/>
            </w:tcBorders>
            <w:shd w:val="clear" w:color="auto" w:fill="FFFFFF"/>
            <w:noWrap w:val="0"/>
            <w:vAlign w:val="top"/>
          </w:tcPr>
          <w:p w14:paraId="7C962742">
            <w:pPr>
              <w:tabs>
                <w:tab w:val="left" w:pos="7590"/>
              </w:tabs>
              <w:spacing w:before="156" w:beforeLines="50" w:line="280" w:lineRule="exact"/>
              <w:rPr>
                <w:b w:val="0"/>
                <w:bCs w:val="0"/>
                <w:color w:val="auto"/>
              </w:rPr>
            </w:pPr>
            <w:r>
              <w:rPr>
                <w:rFonts w:hint="eastAsia"/>
                <w:b w:val="0"/>
                <w:bCs w:val="0"/>
                <w:color w:val="auto"/>
              </w:rPr>
              <w:t>★行程亮点：</w:t>
            </w:r>
          </w:p>
          <w:p w14:paraId="0E120953">
            <w:pPr>
              <w:tabs>
                <w:tab w:val="left" w:pos="7590"/>
              </w:tabs>
              <w:spacing w:before="156" w:beforeLines="50" w:line="280" w:lineRule="exact"/>
              <w:rPr>
                <w:rFonts w:hint="eastAsia"/>
                <w:b w:val="0"/>
                <w:bCs w:val="0"/>
                <w:color w:val="auto"/>
                <w:lang w:val="fr-CH"/>
              </w:rPr>
            </w:pPr>
            <w:r>
              <w:rPr>
                <w:rFonts w:hint="eastAsia"/>
                <w:b w:val="0"/>
                <w:bCs w:val="0"/>
                <w:color w:val="auto"/>
                <w:lang w:val="fr-CH"/>
              </w:rPr>
              <w:t>【品质保证】：广州直飞，广东独立自组</w:t>
            </w:r>
            <w:r>
              <w:rPr>
                <w:rFonts w:hint="eastAsia"/>
                <w:b w:val="0"/>
                <w:bCs w:val="0"/>
                <w:color w:val="auto"/>
                <w:lang w:val="fr-CH" w:eastAsia="zh-CN"/>
              </w:rPr>
              <w:t>，</w:t>
            </w:r>
            <w:r>
              <w:rPr>
                <w:rFonts w:hint="eastAsia"/>
                <w:b w:val="0"/>
                <w:bCs w:val="0"/>
                <w:color w:val="auto"/>
                <w:lang w:val="en-US" w:eastAsia="zh-CN"/>
              </w:rPr>
              <w:t>派金牌领队，拒绝全国拼，正规航班，无消费压力</w:t>
            </w:r>
            <w:r>
              <w:rPr>
                <w:rFonts w:hint="eastAsia"/>
                <w:b w:val="0"/>
                <w:bCs w:val="0"/>
                <w:color w:val="auto"/>
                <w:lang w:val="fr-CH"/>
              </w:rPr>
              <w:t>。</w:t>
            </w:r>
          </w:p>
          <w:p w14:paraId="37C9CB42">
            <w:pPr>
              <w:tabs>
                <w:tab w:val="left" w:pos="7590"/>
              </w:tabs>
              <w:spacing w:before="156" w:beforeLines="50" w:line="280" w:lineRule="exact"/>
              <w:rPr>
                <w:rFonts w:hint="eastAsia"/>
                <w:b w:val="0"/>
                <w:bCs w:val="0"/>
                <w:color w:val="auto"/>
                <w:lang w:val="fr-CH" w:eastAsia="zh-CN"/>
              </w:rPr>
            </w:pPr>
            <w:r>
              <w:rPr>
                <w:rFonts w:hint="eastAsia"/>
                <w:b w:val="0"/>
                <w:bCs w:val="0"/>
                <w:color w:val="auto"/>
                <w:lang w:val="fr-CH"/>
              </w:rPr>
              <w:t>【舒适住宿】：</w:t>
            </w:r>
            <w:r>
              <w:rPr>
                <w:rFonts w:hint="eastAsia"/>
                <w:b w:val="0"/>
                <w:bCs w:val="0"/>
                <w:color w:val="auto"/>
                <w:lang w:val="en-US" w:eastAsia="zh-CN"/>
              </w:rPr>
              <w:t>泰国全程入住当地五星（网评四钻）带泳池酒店</w:t>
            </w:r>
            <w:r>
              <w:rPr>
                <w:rFonts w:hint="eastAsia"/>
                <w:b w:val="0"/>
                <w:bCs w:val="0"/>
                <w:color w:val="auto"/>
                <w:lang w:val="fr-CH" w:eastAsia="zh-CN"/>
              </w:rPr>
              <w:t>。</w:t>
            </w:r>
          </w:p>
          <w:p w14:paraId="5AB98011">
            <w:pPr>
              <w:tabs>
                <w:tab w:val="left" w:pos="7590"/>
              </w:tabs>
              <w:spacing w:before="156" w:beforeLines="50" w:line="280" w:lineRule="exact"/>
              <w:rPr>
                <w:rFonts w:hint="eastAsia"/>
                <w:b w:val="0"/>
                <w:bCs w:val="0"/>
                <w:color w:val="auto"/>
              </w:rPr>
            </w:pPr>
            <w:r>
              <w:rPr>
                <w:rFonts w:hint="eastAsia"/>
                <w:b w:val="0"/>
                <w:bCs w:val="0"/>
                <w:color w:val="auto"/>
                <w:lang w:val="fr-CH"/>
              </w:rPr>
              <w:t>【轻奢美食】：</w:t>
            </w:r>
            <w:r>
              <w:rPr>
                <w:rFonts w:hint="eastAsia"/>
                <w:b w:val="0"/>
                <w:bCs w:val="0"/>
                <w:color w:val="auto"/>
                <w:lang w:val="fr-CH" w:eastAsia="zh-CN"/>
              </w:rPr>
              <w:t>泰式火锅</w:t>
            </w:r>
            <w:r>
              <w:rPr>
                <w:rFonts w:hint="eastAsia"/>
                <w:b w:val="0"/>
                <w:bCs w:val="0"/>
                <w:color w:val="auto"/>
                <w:lang w:val="en-US" w:eastAsia="zh-CN"/>
              </w:rPr>
              <w:t>自助餐</w:t>
            </w:r>
            <w:r>
              <w:rPr>
                <w:rFonts w:hint="eastAsia"/>
                <w:b w:val="0"/>
                <w:bCs w:val="0"/>
                <w:color w:val="auto"/>
                <w:lang w:val="fr-CH" w:eastAsia="zh-CN"/>
              </w:rPr>
              <w:t>、泰昌火山排骨自助餐、东方公主号船餐、帝王手抓饭、丝路宫廷。</w:t>
            </w:r>
          </w:p>
          <w:p w14:paraId="4A6A556C">
            <w:pPr>
              <w:tabs>
                <w:tab w:val="left" w:pos="7590"/>
              </w:tabs>
              <w:spacing w:before="156" w:beforeLines="50" w:line="280" w:lineRule="exact"/>
              <w:rPr>
                <w:b w:val="0"/>
                <w:bCs w:val="0"/>
                <w:color w:val="auto"/>
              </w:rPr>
            </w:pPr>
            <w:r>
              <w:rPr>
                <w:rFonts w:hint="eastAsia"/>
                <w:b w:val="0"/>
                <w:bCs w:val="0"/>
                <w:color w:val="auto"/>
                <w:lang w:val="fr-CH"/>
              </w:rPr>
              <w:t>【精彩体验】：</w:t>
            </w:r>
            <w:r>
              <w:rPr>
                <w:rFonts w:hint="eastAsia"/>
                <w:b w:val="0"/>
                <w:bCs w:val="0"/>
                <w:color w:val="auto"/>
              </w:rPr>
              <w:t>泰国</w:t>
            </w:r>
            <w:r>
              <w:rPr>
                <w:rFonts w:hint="eastAsia"/>
                <w:b w:val="0"/>
                <w:bCs w:val="0"/>
                <w:color w:val="auto"/>
                <w:lang w:val="en-US" w:eastAsia="zh-CN"/>
              </w:rPr>
              <w:t>国际</w:t>
            </w:r>
            <w:r>
              <w:rPr>
                <w:rFonts w:hint="eastAsia"/>
                <w:b w:val="0"/>
                <w:bCs w:val="0"/>
                <w:color w:val="auto"/>
              </w:rPr>
              <w:t>人妖表演秀</w:t>
            </w:r>
            <w:r>
              <w:rPr>
                <w:rFonts w:hint="eastAsia"/>
                <w:b w:val="0"/>
                <w:bCs w:val="0"/>
                <w:color w:val="auto"/>
                <w:lang w:eastAsia="zh-CN"/>
              </w:rPr>
              <w:t>、</w:t>
            </w:r>
            <w:r>
              <w:rPr>
                <w:rFonts w:hint="eastAsia"/>
                <w:b w:val="0"/>
                <w:bCs w:val="0"/>
                <w:color w:val="auto"/>
                <w:lang w:val="en-US" w:eastAsia="zh-CN"/>
              </w:rPr>
              <w:t>泰式古法按摩、船游湄南河、船游东方公主号、骑大象+泼水体验+水果大餐（含榴莲）</w:t>
            </w:r>
            <w:r>
              <w:rPr>
                <w:rFonts w:hint="eastAsia"/>
                <w:b w:val="0"/>
                <w:bCs w:val="0"/>
                <w:color w:val="auto"/>
              </w:rPr>
              <w:t>。</w:t>
            </w:r>
          </w:p>
          <w:tbl>
            <w:tblPr>
              <w:tblStyle w:val="6"/>
              <w:tblpPr w:leftFromText="180" w:rightFromText="180" w:vertAnchor="text" w:horzAnchor="page" w:tblpX="5" w:tblpY="108"/>
              <w:tblOverlap w:val="never"/>
              <w:tblW w:w="9778" w:type="dxa"/>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
            <w:tblGrid>
              <w:gridCol w:w="730"/>
              <w:gridCol w:w="2813"/>
              <w:gridCol w:w="743"/>
              <w:gridCol w:w="1000"/>
              <w:gridCol w:w="1266"/>
              <w:gridCol w:w="1398"/>
              <w:gridCol w:w="1828"/>
            </w:tblGrid>
            <w:tr w14:paraId="6708FB71">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6" w:hRule="atLeast"/>
              </w:trPr>
              <w:tc>
                <w:tcPr>
                  <w:tcW w:w="730" w:type="dxa"/>
                  <w:tcBorders>
                    <w:tl2br w:val="nil"/>
                    <w:tr2bl w:val="nil"/>
                  </w:tcBorders>
                  <w:shd w:val="clear" w:color="auto" w:fill="4472C4" w:themeFill="accent5"/>
                  <w:noWrap w:val="0"/>
                  <w:vAlign w:val="center"/>
                </w:tcPr>
                <w:p w14:paraId="62EC3B54">
                  <w:pPr>
                    <w:spacing w:line="360" w:lineRule="exact"/>
                    <w:jc w:val="center"/>
                    <w:rPr>
                      <w:rFonts w:hint="eastAsia" w:ascii="微软雅黑" w:hAnsi="微软雅黑" w:eastAsia="微软雅黑"/>
                      <w:b/>
                      <w:bCs/>
                      <w:color w:val="FFFFFF"/>
                      <w:sz w:val="18"/>
                      <w:szCs w:val="18"/>
                    </w:rPr>
                  </w:pPr>
                  <w:r>
                    <w:rPr>
                      <w:rFonts w:hint="eastAsia" w:ascii="微软雅黑" w:hAnsi="微软雅黑" w:eastAsia="微软雅黑"/>
                      <w:b/>
                      <w:bCs/>
                      <w:color w:val="FFFFFF"/>
                      <w:sz w:val="18"/>
                      <w:szCs w:val="18"/>
                      <w:lang w:val="en-US" w:eastAsia="zh-CN"/>
                    </w:rPr>
                    <w:t>天</w:t>
                  </w:r>
                  <w:r>
                    <w:rPr>
                      <w:rFonts w:hint="eastAsia" w:ascii="微软雅黑" w:hAnsi="微软雅黑" w:eastAsia="微软雅黑"/>
                      <w:b/>
                      <w:bCs/>
                      <w:color w:val="FFFFFF"/>
                      <w:sz w:val="18"/>
                      <w:szCs w:val="18"/>
                    </w:rPr>
                    <w:t>数</w:t>
                  </w:r>
                </w:p>
              </w:tc>
              <w:tc>
                <w:tcPr>
                  <w:tcW w:w="2813" w:type="dxa"/>
                  <w:tcBorders>
                    <w:tl2br w:val="nil"/>
                    <w:tr2bl w:val="nil"/>
                  </w:tcBorders>
                  <w:shd w:val="clear" w:color="auto" w:fill="4472C4" w:themeFill="accent5"/>
                  <w:noWrap w:val="0"/>
                  <w:vAlign w:val="center"/>
                </w:tcPr>
                <w:p w14:paraId="75C89979">
                  <w:pPr>
                    <w:spacing w:line="360" w:lineRule="exact"/>
                    <w:jc w:val="center"/>
                    <w:rPr>
                      <w:rFonts w:hint="eastAsia" w:ascii="微软雅黑" w:hAnsi="微软雅黑" w:eastAsia="微软雅黑"/>
                      <w:b/>
                      <w:bCs/>
                      <w:color w:val="FFFFFF"/>
                      <w:sz w:val="18"/>
                      <w:szCs w:val="18"/>
                    </w:rPr>
                  </w:pPr>
                  <w:r>
                    <w:rPr>
                      <w:rFonts w:hint="eastAsia" w:ascii="微软雅黑" w:hAnsi="微软雅黑" w:eastAsia="微软雅黑"/>
                      <w:b/>
                      <w:bCs/>
                      <w:color w:val="FFFFFF"/>
                      <w:sz w:val="18"/>
                      <w:szCs w:val="18"/>
                    </w:rPr>
                    <w:t>行程和景点</w:t>
                  </w:r>
                </w:p>
              </w:tc>
              <w:tc>
                <w:tcPr>
                  <w:tcW w:w="743" w:type="dxa"/>
                  <w:tcBorders>
                    <w:tl2br w:val="nil"/>
                    <w:tr2bl w:val="nil"/>
                  </w:tcBorders>
                  <w:shd w:val="clear" w:color="auto" w:fill="4472C4" w:themeFill="accent5"/>
                  <w:noWrap w:val="0"/>
                  <w:vAlign w:val="center"/>
                </w:tcPr>
                <w:p w14:paraId="662D5312">
                  <w:pPr>
                    <w:spacing w:line="360" w:lineRule="exact"/>
                    <w:jc w:val="center"/>
                    <w:rPr>
                      <w:rFonts w:hint="eastAsia" w:ascii="微软雅黑" w:hAnsi="微软雅黑" w:eastAsia="微软雅黑"/>
                      <w:b/>
                      <w:bCs/>
                      <w:color w:val="FFFFFF"/>
                      <w:sz w:val="18"/>
                      <w:szCs w:val="18"/>
                    </w:rPr>
                  </w:pPr>
                  <w:r>
                    <w:rPr>
                      <w:rFonts w:hint="eastAsia" w:ascii="微软雅黑" w:hAnsi="微软雅黑" w:eastAsia="微软雅黑"/>
                      <w:b/>
                      <w:bCs/>
                      <w:color w:val="FFFFFF"/>
                      <w:sz w:val="18"/>
                      <w:szCs w:val="18"/>
                    </w:rPr>
                    <w:t>交通</w:t>
                  </w:r>
                </w:p>
              </w:tc>
              <w:tc>
                <w:tcPr>
                  <w:tcW w:w="1000" w:type="dxa"/>
                  <w:tcBorders>
                    <w:tl2br w:val="nil"/>
                    <w:tr2bl w:val="nil"/>
                  </w:tcBorders>
                  <w:shd w:val="clear" w:color="auto" w:fill="4472C4" w:themeFill="accent5"/>
                  <w:noWrap w:val="0"/>
                  <w:vAlign w:val="center"/>
                </w:tcPr>
                <w:p w14:paraId="43B44369">
                  <w:pPr>
                    <w:spacing w:line="360" w:lineRule="exact"/>
                    <w:jc w:val="center"/>
                    <w:rPr>
                      <w:rFonts w:hint="eastAsia" w:ascii="微软雅黑" w:hAnsi="微软雅黑" w:eastAsia="微软雅黑"/>
                      <w:b/>
                      <w:bCs/>
                      <w:color w:val="FFFFFF"/>
                      <w:sz w:val="18"/>
                      <w:szCs w:val="18"/>
                    </w:rPr>
                  </w:pPr>
                  <w:r>
                    <w:rPr>
                      <w:rFonts w:hint="eastAsia" w:ascii="微软雅黑" w:hAnsi="微软雅黑" w:eastAsia="微软雅黑"/>
                      <w:b/>
                      <w:bCs/>
                      <w:color w:val="FFFFFF"/>
                      <w:sz w:val="18"/>
                      <w:szCs w:val="18"/>
                    </w:rPr>
                    <w:t>早餐</w:t>
                  </w:r>
                </w:p>
              </w:tc>
              <w:tc>
                <w:tcPr>
                  <w:tcW w:w="1266" w:type="dxa"/>
                  <w:tcBorders>
                    <w:tl2br w:val="nil"/>
                    <w:tr2bl w:val="nil"/>
                  </w:tcBorders>
                  <w:shd w:val="clear" w:color="auto" w:fill="4472C4" w:themeFill="accent5"/>
                  <w:noWrap w:val="0"/>
                  <w:vAlign w:val="center"/>
                </w:tcPr>
                <w:p w14:paraId="2CAE3E45">
                  <w:pPr>
                    <w:spacing w:line="360" w:lineRule="exact"/>
                    <w:jc w:val="center"/>
                    <w:rPr>
                      <w:rFonts w:hint="eastAsia" w:ascii="微软雅黑" w:hAnsi="微软雅黑" w:eastAsia="微软雅黑"/>
                      <w:b/>
                      <w:bCs/>
                      <w:color w:val="FFFFFF"/>
                      <w:sz w:val="18"/>
                      <w:szCs w:val="18"/>
                    </w:rPr>
                  </w:pPr>
                  <w:r>
                    <w:rPr>
                      <w:rFonts w:hint="eastAsia" w:ascii="微软雅黑" w:hAnsi="微软雅黑" w:eastAsia="微软雅黑"/>
                      <w:b/>
                      <w:bCs/>
                      <w:color w:val="FFFFFF"/>
                      <w:sz w:val="18"/>
                      <w:szCs w:val="18"/>
                    </w:rPr>
                    <w:t>中餐</w:t>
                  </w:r>
                </w:p>
              </w:tc>
              <w:tc>
                <w:tcPr>
                  <w:tcW w:w="1398" w:type="dxa"/>
                  <w:tcBorders>
                    <w:tl2br w:val="nil"/>
                    <w:tr2bl w:val="nil"/>
                  </w:tcBorders>
                  <w:shd w:val="clear" w:color="auto" w:fill="4472C4" w:themeFill="accent5"/>
                  <w:noWrap w:val="0"/>
                  <w:vAlign w:val="center"/>
                </w:tcPr>
                <w:p w14:paraId="418986B6">
                  <w:pPr>
                    <w:spacing w:line="360" w:lineRule="exact"/>
                    <w:jc w:val="center"/>
                    <w:rPr>
                      <w:rFonts w:hint="eastAsia" w:ascii="微软雅黑" w:hAnsi="微软雅黑" w:eastAsia="微软雅黑"/>
                      <w:b/>
                      <w:bCs/>
                      <w:color w:val="FFFFFF"/>
                      <w:sz w:val="18"/>
                      <w:szCs w:val="18"/>
                    </w:rPr>
                  </w:pPr>
                  <w:r>
                    <w:rPr>
                      <w:rFonts w:hint="eastAsia" w:ascii="微软雅黑" w:hAnsi="微软雅黑" w:eastAsia="微软雅黑"/>
                      <w:b/>
                      <w:bCs/>
                      <w:color w:val="FFFFFF"/>
                      <w:sz w:val="18"/>
                      <w:szCs w:val="18"/>
                    </w:rPr>
                    <w:t>晚餐</w:t>
                  </w:r>
                </w:p>
              </w:tc>
              <w:tc>
                <w:tcPr>
                  <w:tcW w:w="1828" w:type="dxa"/>
                  <w:tcBorders>
                    <w:tl2br w:val="nil"/>
                    <w:tr2bl w:val="nil"/>
                  </w:tcBorders>
                  <w:shd w:val="clear" w:color="auto" w:fill="4472C4" w:themeFill="accent5"/>
                  <w:noWrap w:val="0"/>
                  <w:vAlign w:val="center"/>
                </w:tcPr>
                <w:p w14:paraId="61430BD2">
                  <w:pPr>
                    <w:spacing w:line="360" w:lineRule="exact"/>
                    <w:jc w:val="center"/>
                    <w:rPr>
                      <w:rFonts w:hint="eastAsia" w:ascii="微软雅黑" w:hAnsi="微软雅黑" w:eastAsia="微软雅黑"/>
                      <w:b/>
                      <w:bCs/>
                      <w:color w:val="FFFFFF"/>
                      <w:sz w:val="18"/>
                      <w:szCs w:val="18"/>
                    </w:rPr>
                  </w:pPr>
                  <w:r>
                    <w:rPr>
                      <w:rFonts w:hint="eastAsia" w:ascii="微软雅黑" w:hAnsi="微软雅黑" w:eastAsia="微软雅黑"/>
                      <w:b/>
                      <w:bCs/>
                      <w:color w:val="FFFFFF"/>
                      <w:sz w:val="18"/>
                      <w:szCs w:val="18"/>
                    </w:rPr>
                    <w:t>住宿酒店</w:t>
                  </w:r>
                </w:p>
              </w:tc>
            </w:tr>
            <w:tr w14:paraId="3BF8DEA5">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90" w:hRule="atLeast"/>
              </w:trPr>
              <w:tc>
                <w:tcPr>
                  <w:tcW w:w="730" w:type="dxa"/>
                  <w:tcBorders>
                    <w:tl2br w:val="nil"/>
                    <w:tr2bl w:val="nil"/>
                  </w:tcBorders>
                  <w:noWrap w:val="0"/>
                  <w:vAlign w:val="center"/>
                </w:tcPr>
                <w:p w14:paraId="38985EF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bCs/>
                      <w:color w:val="000000"/>
                      <w:sz w:val="18"/>
                      <w:szCs w:val="18"/>
                      <w:lang w:val="en-US" w:eastAsia="zh-CN"/>
                    </w:rPr>
                  </w:pPr>
                  <w:r>
                    <w:rPr>
                      <w:rFonts w:hint="eastAsia" w:ascii="微软雅黑" w:hAnsi="微软雅黑" w:eastAsia="微软雅黑"/>
                      <w:color w:val="000000"/>
                      <w:sz w:val="18"/>
                      <w:szCs w:val="18"/>
                    </w:rPr>
                    <w:t>D</w:t>
                  </w:r>
                  <w:r>
                    <w:rPr>
                      <w:rFonts w:hint="eastAsia" w:ascii="微软雅黑" w:hAnsi="微软雅黑" w:eastAsia="微软雅黑"/>
                      <w:color w:val="000000"/>
                      <w:sz w:val="18"/>
                      <w:szCs w:val="18"/>
                      <w:lang w:val="en-US" w:eastAsia="zh-CN"/>
                    </w:rPr>
                    <w:t>1</w:t>
                  </w:r>
                </w:p>
              </w:tc>
              <w:tc>
                <w:tcPr>
                  <w:tcW w:w="2813" w:type="dxa"/>
                  <w:tcBorders>
                    <w:tl2br w:val="nil"/>
                    <w:tr2bl w:val="nil"/>
                  </w:tcBorders>
                  <w:noWrap w:val="0"/>
                  <w:vAlign w:val="center"/>
                </w:tcPr>
                <w:p w14:paraId="4D62BD5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Times New Roman"/>
                      <w:sz w:val="18"/>
                      <w:szCs w:val="18"/>
                      <w:lang w:val="en-US" w:eastAsia="zh-CN"/>
                    </w:rPr>
                  </w:pPr>
                  <w:r>
                    <w:rPr>
                      <w:rFonts w:hint="eastAsia" w:ascii="微软雅黑" w:hAnsi="微软雅黑" w:eastAsia="微软雅黑" w:cs="Times New Roman"/>
                      <w:sz w:val="18"/>
                      <w:szCs w:val="18"/>
                      <w:lang w:val="en-US" w:eastAsia="zh-CN"/>
                    </w:rPr>
                    <w:t>广州-曼谷-泰式古法按摩-747飞机下午茶-泰国国际人妖表演秀</w:t>
                  </w:r>
                </w:p>
              </w:tc>
              <w:tc>
                <w:tcPr>
                  <w:tcW w:w="743" w:type="dxa"/>
                  <w:tcBorders>
                    <w:tl2br w:val="nil"/>
                    <w:tr2bl w:val="nil"/>
                  </w:tcBorders>
                  <w:noWrap w:val="0"/>
                  <w:vAlign w:val="center"/>
                </w:tcPr>
                <w:p w14:paraId="3BC0C1C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微软雅黑" w:hAnsi="微软雅黑" w:eastAsia="微软雅黑" w:cs="Times New Roman"/>
                      <w:sz w:val="18"/>
                      <w:szCs w:val="18"/>
                      <w:lang w:val="en-US" w:eastAsia="zh-CN"/>
                    </w:rPr>
                  </w:pPr>
                  <w:r>
                    <w:rPr>
                      <w:rFonts w:hint="eastAsia" w:ascii="微软雅黑" w:hAnsi="微软雅黑" w:eastAsia="微软雅黑" w:cs="Times New Roman"/>
                      <w:sz w:val="18"/>
                      <w:szCs w:val="18"/>
                      <w:lang w:val="en-US" w:eastAsia="zh-CN"/>
                    </w:rPr>
                    <w:t>巴士+飞机</w:t>
                  </w:r>
                </w:p>
              </w:tc>
              <w:tc>
                <w:tcPr>
                  <w:tcW w:w="1000" w:type="dxa"/>
                  <w:tcBorders>
                    <w:tl2br w:val="nil"/>
                    <w:tr2bl w:val="nil"/>
                  </w:tcBorders>
                  <w:noWrap w:val="0"/>
                  <w:vAlign w:val="center"/>
                </w:tcPr>
                <w:p w14:paraId="2ADB3AA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Times New Roman"/>
                      <w:sz w:val="18"/>
                      <w:szCs w:val="18"/>
                      <w:lang w:val="en-US" w:eastAsia="zh-CN"/>
                    </w:rPr>
                  </w:pPr>
                  <w:r>
                    <w:rPr>
                      <w:rFonts w:hint="eastAsia" w:ascii="微软雅黑" w:hAnsi="微软雅黑" w:eastAsia="微软雅黑" w:cs="Times New Roman"/>
                      <w:sz w:val="18"/>
                      <w:szCs w:val="18"/>
                      <w:lang w:val="en-US" w:eastAsia="zh-CN"/>
                    </w:rPr>
                    <w:t>酒店打包早</w:t>
                  </w:r>
                </w:p>
              </w:tc>
              <w:tc>
                <w:tcPr>
                  <w:tcW w:w="1266" w:type="dxa"/>
                  <w:tcBorders>
                    <w:tl2br w:val="nil"/>
                    <w:tr2bl w:val="nil"/>
                  </w:tcBorders>
                  <w:noWrap w:val="0"/>
                  <w:vAlign w:val="top"/>
                </w:tcPr>
                <w:p w14:paraId="57A30D1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Times New Roman"/>
                      <w:sz w:val="18"/>
                      <w:szCs w:val="18"/>
                      <w:lang w:val="en-US" w:eastAsia="zh-CN"/>
                    </w:rPr>
                  </w:pPr>
                </w:p>
                <w:p w14:paraId="7C50039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微软雅黑" w:hAnsi="微软雅黑" w:eastAsia="微软雅黑" w:cs="Times New Roman"/>
                      <w:sz w:val="18"/>
                      <w:szCs w:val="18"/>
                      <w:lang w:val="en-US" w:eastAsia="zh-CN"/>
                    </w:rPr>
                  </w:pPr>
                  <w:r>
                    <w:rPr>
                      <w:rFonts w:hint="default" w:ascii="微软雅黑" w:hAnsi="微软雅黑" w:eastAsia="微软雅黑" w:cs="Times New Roman"/>
                      <w:sz w:val="18"/>
                      <w:szCs w:val="18"/>
                      <w:lang w:val="en-US" w:eastAsia="zh-CN"/>
                    </w:rPr>
                    <w:t>泰式自助火锅</w:t>
                  </w:r>
                </w:p>
              </w:tc>
              <w:tc>
                <w:tcPr>
                  <w:tcW w:w="1398" w:type="dxa"/>
                  <w:tcBorders>
                    <w:tl2br w:val="nil"/>
                    <w:tr2bl w:val="nil"/>
                  </w:tcBorders>
                  <w:noWrap w:val="0"/>
                  <w:vAlign w:val="top"/>
                </w:tcPr>
                <w:p w14:paraId="01B91B9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Times New Roman"/>
                      <w:sz w:val="18"/>
                      <w:szCs w:val="18"/>
                      <w:lang w:val="en-US" w:eastAsia="zh-CN"/>
                    </w:rPr>
                  </w:pPr>
                </w:p>
                <w:p w14:paraId="6675C27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微软雅黑" w:hAnsi="微软雅黑" w:eastAsia="微软雅黑" w:cs="Times New Roman"/>
                      <w:sz w:val="18"/>
                      <w:szCs w:val="18"/>
                      <w:lang w:val="en-US" w:eastAsia="zh-CN"/>
                    </w:rPr>
                  </w:pPr>
                  <w:r>
                    <w:rPr>
                      <w:rFonts w:hint="eastAsia" w:ascii="微软雅黑" w:hAnsi="微软雅黑" w:eastAsia="微软雅黑" w:cs="Times New Roman"/>
                      <w:sz w:val="18"/>
                      <w:szCs w:val="18"/>
                      <w:lang w:val="en-US" w:eastAsia="zh-CN"/>
                    </w:rPr>
                    <w:t>泰式围桌</w:t>
                  </w:r>
                  <w:r>
                    <w:rPr>
                      <w:rFonts w:hint="default" w:ascii="微软雅黑" w:hAnsi="微软雅黑" w:eastAsia="微软雅黑" w:cs="Times New Roman"/>
                      <w:sz w:val="18"/>
                      <w:szCs w:val="18"/>
                      <w:lang w:val="en-US" w:eastAsia="zh-CN"/>
                    </w:rPr>
                    <w:t>餐</w:t>
                  </w:r>
                </w:p>
              </w:tc>
              <w:tc>
                <w:tcPr>
                  <w:tcW w:w="1828" w:type="dxa"/>
                  <w:tcBorders>
                    <w:tl2br w:val="nil"/>
                    <w:tr2bl w:val="nil"/>
                  </w:tcBorders>
                  <w:noWrap w:val="0"/>
                  <w:vAlign w:val="center"/>
                </w:tcPr>
                <w:p w14:paraId="5820AA7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Times New Roman"/>
                      <w:sz w:val="18"/>
                      <w:szCs w:val="18"/>
                      <w:lang w:val="en-US" w:eastAsia="zh-CN"/>
                    </w:rPr>
                  </w:pPr>
                  <w:r>
                    <w:rPr>
                      <w:rFonts w:hint="eastAsia" w:ascii="微软雅黑" w:hAnsi="微软雅黑" w:eastAsia="微软雅黑" w:cs="Times New Roman"/>
                      <w:sz w:val="18"/>
                      <w:szCs w:val="18"/>
                      <w:lang w:val="en-US" w:eastAsia="zh-CN"/>
                    </w:rPr>
                    <w:t>曼谷当地五星（网评四钻）带泳池酒店</w:t>
                  </w:r>
                </w:p>
              </w:tc>
            </w:tr>
            <w:tr w14:paraId="48CB2B33">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570" w:hRule="atLeast"/>
              </w:trPr>
              <w:tc>
                <w:tcPr>
                  <w:tcW w:w="730" w:type="dxa"/>
                  <w:tcBorders>
                    <w:tl2br w:val="nil"/>
                    <w:tr2bl w:val="nil"/>
                  </w:tcBorders>
                  <w:noWrap w:val="0"/>
                  <w:vAlign w:val="center"/>
                </w:tcPr>
                <w:p w14:paraId="779F572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olor w:val="000000"/>
                      <w:sz w:val="18"/>
                      <w:szCs w:val="18"/>
                      <w:lang w:val="en-US" w:eastAsia="zh-CN"/>
                    </w:rPr>
                  </w:pPr>
                  <w:r>
                    <w:rPr>
                      <w:rFonts w:hint="eastAsia" w:ascii="微软雅黑" w:hAnsi="微软雅黑" w:eastAsia="微软雅黑"/>
                      <w:color w:val="000000"/>
                      <w:sz w:val="18"/>
                      <w:szCs w:val="18"/>
                    </w:rPr>
                    <w:t>D</w:t>
                  </w:r>
                  <w:r>
                    <w:rPr>
                      <w:rFonts w:hint="eastAsia" w:ascii="微软雅黑" w:hAnsi="微软雅黑" w:eastAsia="微软雅黑"/>
                      <w:color w:val="000000"/>
                      <w:sz w:val="18"/>
                      <w:szCs w:val="18"/>
                      <w:lang w:val="en-US" w:eastAsia="zh-CN"/>
                    </w:rPr>
                    <w:t>2</w:t>
                  </w:r>
                </w:p>
              </w:tc>
              <w:tc>
                <w:tcPr>
                  <w:tcW w:w="2813" w:type="dxa"/>
                  <w:tcBorders>
                    <w:tl2br w:val="nil"/>
                    <w:tr2bl w:val="nil"/>
                  </w:tcBorders>
                  <w:noWrap w:val="0"/>
                  <w:vAlign w:val="center"/>
                </w:tcPr>
                <w:p w14:paraId="4FDD487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Times New Roman"/>
                      <w:sz w:val="18"/>
                      <w:szCs w:val="18"/>
                      <w:lang w:val="en-US" w:eastAsia="zh-CN"/>
                    </w:rPr>
                  </w:pPr>
                  <w:r>
                    <w:rPr>
                      <w:rFonts w:hint="eastAsia" w:ascii="微软雅黑" w:hAnsi="微软雅黑" w:eastAsia="微软雅黑" w:cs="Times New Roman"/>
                      <w:sz w:val="18"/>
                      <w:szCs w:val="18"/>
                      <w:lang w:val="en-US" w:eastAsia="zh-CN"/>
                    </w:rPr>
                    <w:t>大皇宫-玉佛寺-船游湄南河-JODD夜市</w:t>
                  </w:r>
                </w:p>
              </w:tc>
              <w:tc>
                <w:tcPr>
                  <w:tcW w:w="743" w:type="dxa"/>
                  <w:tcBorders>
                    <w:tl2br w:val="nil"/>
                    <w:tr2bl w:val="nil"/>
                  </w:tcBorders>
                  <w:noWrap w:val="0"/>
                  <w:vAlign w:val="center"/>
                </w:tcPr>
                <w:p w14:paraId="1506F24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Times New Roman"/>
                      <w:sz w:val="18"/>
                      <w:szCs w:val="18"/>
                      <w:lang w:val="en-US" w:eastAsia="zh-CN"/>
                    </w:rPr>
                  </w:pPr>
                  <w:r>
                    <w:rPr>
                      <w:rFonts w:hint="eastAsia" w:ascii="微软雅黑" w:hAnsi="微软雅黑" w:eastAsia="微软雅黑" w:cs="Times New Roman"/>
                      <w:sz w:val="18"/>
                      <w:szCs w:val="18"/>
                      <w:lang w:val="en-US" w:eastAsia="zh-CN"/>
                    </w:rPr>
                    <w:t>巴士</w:t>
                  </w:r>
                </w:p>
              </w:tc>
              <w:tc>
                <w:tcPr>
                  <w:tcW w:w="1000" w:type="dxa"/>
                  <w:tcBorders>
                    <w:tl2br w:val="nil"/>
                    <w:tr2bl w:val="nil"/>
                  </w:tcBorders>
                  <w:noWrap w:val="0"/>
                  <w:vAlign w:val="center"/>
                </w:tcPr>
                <w:p w14:paraId="725FD25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Times New Roman"/>
                      <w:sz w:val="18"/>
                      <w:szCs w:val="18"/>
                      <w:lang w:val="en-US" w:eastAsia="zh-CN"/>
                    </w:rPr>
                  </w:pPr>
                  <w:r>
                    <w:rPr>
                      <w:rFonts w:hint="eastAsia" w:ascii="微软雅黑" w:hAnsi="微软雅黑" w:eastAsia="微软雅黑" w:cs="Times New Roman"/>
                      <w:sz w:val="18"/>
                      <w:szCs w:val="18"/>
                      <w:lang w:val="en-US" w:eastAsia="zh-CN"/>
                    </w:rPr>
                    <w:t>酒店内</w:t>
                  </w:r>
                </w:p>
              </w:tc>
              <w:tc>
                <w:tcPr>
                  <w:tcW w:w="1266" w:type="dxa"/>
                  <w:tcBorders>
                    <w:tl2br w:val="nil"/>
                    <w:tr2bl w:val="nil"/>
                  </w:tcBorders>
                  <w:noWrap w:val="0"/>
                  <w:vAlign w:val="top"/>
                </w:tcPr>
                <w:p w14:paraId="7DDB9DE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Times New Roman"/>
                      <w:sz w:val="18"/>
                      <w:szCs w:val="18"/>
                      <w:lang w:val="en-US" w:eastAsia="zh-CN"/>
                    </w:rPr>
                  </w:pPr>
                </w:p>
                <w:p w14:paraId="3046E18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Times New Roman"/>
                      <w:sz w:val="18"/>
                      <w:szCs w:val="18"/>
                      <w:lang w:val="en-US" w:eastAsia="zh-CN"/>
                    </w:rPr>
                  </w:pPr>
                  <w:r>
                    <w:rPr>
                      <w:rFonts w:hint="eastAsia" w:ascii="微软雅黑" w:hAnsi="微软雅黑" w:eastAsia="微软雅黑" w:cs="Times New Roman"/>
                      <w:sz w:val="18"/>
                      <w:szCs w:val="18"/>
                      <w:lang w:val="en-US" w:eastAsia="zh-CN"/>
                    </w:rPr>
                    <w:t>泰昌火山排骨自助餐</w:t>
                  </w:r>
                </w:p>
              </w:tc>
              <w:tc>
                <w:tcPr>
                  <w:tcW w:w="1398" w:type="dxa"/>
                  <w:tcBorders>
                    <w:tl2br w:val="nil"/>
                    <w:tr2bl w:val="nil"/>
                  </w:tcBorders>
                  <w:noWrap w:val="0"/>
                  <w:vAlign w:val="top"/>
                </w:tcPr>
                <w:p w14:paraId="50283A5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Times New Roman"/>
                      <w:sz w:val="18"/>
                      <w:szCs w:val="18"/>
                      <w:lang w:val="en-US" w:eastAsia="zh-CN"/>
                    </w:rPr>
                  </w:pPr>
                </w:p>
                <w:p w14:paraId="48A002D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微软雅黑" w:hAnsi="微软雅黑" w:eastAsia="微软雅黑" w:cs="Times New Roman"/>
                      <w:sz w:val="18"/>
                      <w:szCs w:val="18"/>
                      <w:lang w:val="en-US" w:eastAsia="zh-CN"/>
                    </w:rPr>
                  </w:pPr>
                  <w:r>
                    <w:rPr>
                      <w:rFonts w:hint="eastAsia" w:ascii="微软雅黑" w:hAnsi="微软雅黑" w:eastAsia="微软雅黑" w:cs="Times New Roman"/>
                      <w:sz w:val="18"/>
                      <w:szCs w:val="18"/>
                      <w:lang w:val="en-US" w:eastAsia="zh-CN"/>
                    </w:rPr>
                    <w:t>泰式风味餐</w:t>
                  </w:r>
                </w:p>
              </w:tc>
              <w:tc>
                <w:tcPr>
                  <w:tcW w:w="1828" w:type="dxa"/>
                  <w:tcBorders>
                    <w:tl2br w:val="nil"/>
                    <w:tr2bl w:val="nil"/>
                  </w:tcBorders>
                  <w:noWrap w:val="0"/>
                  <w:vAlign w:val="center"/>
                </w:tcPr>
                <w:p w14:paraId="12B8CE6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Times New Roman"/>
                      <w:sz w:val="18"/>
                      <w:szCs w:val="18"/>
                      <w:lang w:val="en-US" w:eastAsia="zh-CN"/>
                    </w:rPr>
                  </w:pPr>
                  <w:r>
                    <w:rPr>
                      <w:rFonts w:hint="eastAsia" w:ascii="微软雅黑" w:hAnsi="微软雅黑" w:eastAsia="微软雅黑" w:cs="Times New Roman"/>
                      <w:sz w:val="18"/>
                      <w:szCs w:val="18"/>
                      <w:lang w:val="en-US" w:eastAsia="zh-CN"/>
                    </w:rPr>
                    <w:t>曼谷当地五星（网评四钻）带泳池酒店</w:t>
                  </w:r>
                </w:p>
              </w:tc>
            </w:tr>
            <w:tr w14:paraId="2376B26E">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639" w:hRule="atLeast"/>
              </w:trPr>
              <w:tc>
                <w:tcPr>
                  <w:tcW w:w="730" w:type="dxa"/>
                  <w:tcBorders>
                    <w:tl2br w:val="nil"/>
                    <w:tr2bl w:val="nil"/>
                  </w:tcBorders>
                  <w:noWrap w:val="0"/>
                  <w:vAlign w:val="center"/>
                </w:tcPr>
                <w:p w14:paraId="6428610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bCs/>
                      <w:color w:val="000000"/>
                      <w:sz w:val="18"/>
                      <w:szCs w:val="18"/>
                      <w:lang w:val="en-US" w:eastAsia="zh-CN"/>
                    </w:rPr>
                  </w:pPr>
                  <w:r>
                    <w:rPr>
                      <w:rFonts w:hint="eastAsia" w:ascii="微软雅黑" w:hAnsi="微软雅黑" w:eastAsia="微软雅黑"/>
                      <w:color w:val="000000"/>
                      <w:sz w:val="18"/>
                      <w:szCs w:val="18"/>
                    </w:rPr>
                    <w:t>D</w:t>
                  </w:r>
                  <w:r>
                    <w:rPr>
                      <w:rFonts w:hint="eastAsia" w:ascii="微软雅黑" w:hAnsi="微软雅黑" w:eastAsia="微软雅黑"/>
                      <w:color w:val="000000"/>
                      <w:sz w:val="18"/>
                      <w:szCs w:val="18"/>
                      <w:lang w:val="en-US" w:eastAsia="zh-CN"/>
                    </w:rPr>
                    <w:t>3</w:t>
                  </w:r>
                </w:p>
              </w:tc>
              <w:tc>
                <w:tcPr>
                  <w:tcW w:w="2813" w:type="dxa"/>
                  <w:tcBorders>
                    <w:tl2br w:val="nil"/>
                    <w:tr2bl w:val="nil"/>
                  </w:tcBorders>
                  <w:noWrap w:val="0"/>
                  <w:vAlign w:val="center"/>
                </w:tcPr>
                <w:p w14:paraId="16DF49F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Times New Roman"/>
                      <w:sz w:val="18"/>
                      <w:szCs w:val="18"/>
                      <w:lang w:val="en-US" w:eastAsia="zh-CN"/>
                    </w:rPr>
                  </w:pPr>
                  <w:r>
                    <w:rPr>
                      <w:rFonts w:hint="eastAsia" w:ascii="微软雅黑" w:hAnsi="微软雅黑" w:eastAsia="微软雅黑" w:cs="Times New Roman"/>
                      <w:sz w:val="18"/>
                      <w:szCs w:val="18"/>
                      <w:lang w:val="en-US" w:eastAsia="zh-CN"/>
                    </w:rPr>
                    <w:t>珠宝展示中心-泰爽庄园（骑大象+泼水+水果大餐（含榴莲））-东方公主号</w:t>
                  </w:r>
                </w:p>
              </w:tc>
              <w:tc>
                <w:tcPr>
                  <w:tcW w:w="743" w:type="dxa"/>
                  <w:tcBorders>
                    <w:tl2br w:val="nil"/>
                    <w:tr2bl w:val="nil"/>
                  </w:tcBorders>
                  <w:noWrap w:val="0"/>
                  <w:vAlign w:val="center"/>
                </w:tcPr>
                <w:p w14:paraId="3555D91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Times New Roman"/>
                      <w:sz w:val="18"/>
                      <w:szCs w:val="18"/>
                      <w:lang w:val="en-US" w:eastAsia="zh-CN"/>
                    </w:rPr>
                  </w:pPr>
                  <w:r>
                    <w:rPr>
                      <w:rFonts w:hint="eastAsia" w:ascii="微软雅黑" w:hAnsi="微软雅黑" w:eastAsia="微软雅黑" w:cs="Times New Roman"/>
                      <w:sz w:val="18"/>
                      <w:szCs w:val="18"/>
                      <w:lang w:val="en-US" w:eastAsia="zh-CN"/>
                    </w:rPr>
                    <w:t>巴士</w:t>
                  </w:r>
                </w:p>
              </w:tc>
              <w:tc>
                <w:tcPr>
                  <w:tcW w:w="1000" w:type="dxa"/>
                  <w:tcBorders>
                    <w:tl2br w:val="nil"/>
                    <w:tr2bl w:val="nil"/>
                  </w:tcBorders>
                  <w:noWrap w:val="0"/>
                  <w:vAlign w:val="center"/>
                </w:tcPr>
                <w:p w14:paraId="482A713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Times New Roman"/>
                      <w:sz w:val="18"/>
                      <w:szCs w:val="18"/>
                      <w:lang w:val="en-US" w:eastAsia="zh-CN"/>
                    </w:rPr>
                  </w:pPr>
                  <w:r>
                    <w:rPr>
                      <w:rFonts w:hint="eastAsia" w:ascii="微软雅黑" w:hAnsi="微软雅黑" w:eastAsia="微软雅黑" w:cs="Times New Roman"/>
                      <w:sz w:val="18"/>
                      <w:szCs w:val="18"/>
                      <w:lang w:val="en-US" w:eastAsia="zh-CN"/>
                    </w:rPr>
                    <w:t>酒店内</w:t>
                  </w:r>
                </w:p>
              </w:tc>
              <w:tc>
                <w:tcPr>
                  <w:tcW w:w="1266" w:type="dxa"/>
                  <w:tcBorders>
                    <w:tl2br w:val="nil"/>
                    <w:tr2bl w:val="nil"/>
                  </w:tcBorders>
                  <w:noWrap w:val="0"/>
                  <w:vAlign w:val="top"/>
                </w:tcPr>
                <w:p w14:paraId="67B6176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Times New Roman"/>
                      <w:sz w:val="18"/>
                      <w:szCs w:val="18"/>
                      <w:lang w:val="en-US" w:eastAsia="zh-CN"/>
                    </w:rPr>
                  </w:pPr>
                </w:p>
                <w:p w14:paraId="1EA175C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微软雅黑" w:hAnsi="微软雅黑" w:eastAsia="微软雅黑" w:cs="Times New Roman"/>
                      <w:sz w:val="18"/>
                      <w:szCs w:val="18"/>
                      <w:lang w:val="en-US" w:eastAsia="zh-CN"/>
                    </w:rPr>
                  </w:pPr>
                  <w:r>
                    <w:rPr>
                      <w:rFonts w:hint="default" w:ascii="微软雅黑" w:hAnsi="微软雅黑" w:eastAsia="微软雅黑" w:cs="Times New Roman"/>
                      <w:sz w:val="18"/>
                      <w:szCs w:val="18"/>
                      <w:lang w:val="en-US" w:eastAsia="zh-CN"/>
                    </w:rPr>
                    <w:t xml:space="preserve">泰式风味餐 </w:t>
                  </w:r>
                </w:p>
              </w:tc>
              <w:tc>
                <w:tcPr>
                  <w:tcW w:w="1398" w:type="dxa"/>
                  <w:tcBorders>
                    <w:tl2br w:val="nil"/>
                    <w:tr2bl w:val="nil"/>
                  </w:tcBorders>
                  <w:noWrap w:val="0"/>
                  <w:vAlign w:val="top"/>
                </w:tcPr>
                <w:p w14:paraId="390BA69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Times New Roman"/>
                      <w:sz w:val="18"/>
                      <w:szCs w:val="18"/>
                      <w:lang w:val="en-US" w:eastAsia="zh-CN"/>
                    </w:rPr>
                  </w:pPr>
                </w:p>
                <w:p w14:paraId="329F94C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微软雅黑" w:hAnsi="微软雅黑" w:eastAsia="微软雅黑" w:cs="Times New Roman"/>
                      <w:sz w:val="18"/>
                      <w:szCs w:val="18"/>
                      <w:lang w:val="en-US" w:eastAsia="zh-CN"/>
                    </w:rPr>
                  </w:pPr>
                  <w:r>
                    <w:rPr>
                      <w:rFonts w:hint="default" w:ascii="微软雅黑" w:hAnsi="微软雅黑" w:eastAsia="微软雅黑" w:cs="Times New Roman"/>
                      <w:sz w:val="18"/>
                      <w:szCs w:val="18"/>
                      <w:lang w:val="en-US" w:eastAsia="zh-CN"/>
                    </w:rPr>
                    <w:t>东方公主号船餐</w:t>
                  </w:r>
                </w:p>
              </w:tc>
              <w:tc>
                <w:tcPr>
                  <w:tcW w:w="1828" w:type="dxa"/>
                  <w:tcBorders>
                    <w:tl2br w:val="nil"/>
                    <w:tr2bl w:val="nil"/>
                  </w:tcBorders>
                  <w:noWrap w:val="0"/>
                  <w:vAlign w:val="center"/>
                </w:tcPr>
                <w:p w14:paraId="352C009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Times New Roman"/>
                      <w:sz w:val="18"/>
                      <w:szCs w:val="18"/>
                      <w:lang w:val="en-US" w:eastAsia="zh-CN"/>
                    </w:rPr>
                  </w:pPr>
                  <w:r>
                    <w:rPr>
                      <w:rFonts w:hint="eastAsia" w:ascii="微软雅黑" w:hAnsi="微软雅黑" w:eastAsia="微软雅黑" w:cs="Times New Roman"/>
                      <w:sz w:val="18"/>
                      <w:szCs w:val="18"/>
                      <w:lang w:val="en-US" w:eastAsia="zh-CN"/>
                    </w:rPr>
                    <w:t>芭提雅当五（网评四钻）带泳池酒店</w:t>
                  </w:r>
                </w:p>
              </w:tc>
            </w:tr>
            <w:tr w14:paraId="30D0DDB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851" w:hRule="atLeast"/>
              </w:trPr>
              <w:tc>
                <w:tcPr>
                  <w:tcW w:w="730" w:type="dxa"/>
                  <w:tcBorders>
                    <w:tl2br w:val="nil"/>
                    <w:tr2bl w:val="nil"/>
                  </w:tcBorders>
                  <w:noWrap w:val="0"/>
                  <w:vAlign w:val="center"/>
                </w:tcPr>
                <w:p w14:paraId="629C306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olor w:val="000000"/>
                      <w:sz w:val="18"/>
                      <w:szCs w:val="18"/>
                      <w:lang w:val="en-US" w:eastAsia="zh-CN"/>
                    </w:rPr>
                  </w:pPr>
                  <w:r>
                    <w:rPr>
                      <w:rFonts w:hint="eastAsia" w:ascii="微软雅黑" w:hAnsi="微软雅黑" w:eastAsia="微软雅黑"/>
                      <w:color w:val="000000"/>
                      <w:sz w:val="18"/>
                      <w:szCs w:val="18"/>
                    </w:rPr>
                    <w:t>D</w:t>
                  </w:r>
                  <w:r>
                    <w:rPr>
                      <w:rFonts w:hint="eastAsia" w:ascii="微软雅黑" w:hAnsi="微软雅黑" w:eastAsia="微软雅黑"/>
                      <w:color w:val="000000"/>
                      <w:sz w:val="18"/>
                      <w:szCs w:val="18"/>
                      <w:lang w:val="en-US" w:eastAsia="zh-CN"/>
                    </w:rPr>
                    <w:t>4</w:t>
                  </w:r>
                </w:p>
              </w:tc>
              <w:tc>
                <w:tcPr>
                  <w:tcW w:w="2813" w:type="dxa"/>
                  <w:tcBorders>
                    <w:tl2br w:val="nil"/>
                    <w:tr2bl w:val="nil"/>
                  </w:tcBorders>
                  <w:noWrap w:val="0"/>
                  <w:vAlign w:val="center"/>
                </w:tcPr>
                <w:p w14:paraId="454B6E3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微软雅黑" w:hAnsi="微软雅黑" w:eastAsia="微软雅黑" w:cs="Times New Roman"/>
                      <w:sz w:val="18"/>
                      <w:szCs w:val="18"/>
                      <w:lang w:val="en-US" w:eastAsia="zh-CN"/>
                    </w:rPr>
                  </w:pPr>
                  <w:r>
                    <w:rPr>
                      <w:rFonts w:hint="default" w:ascii="微软雅黑" w:hAnsi="微软雅黑" w:eastAsia="微软雅黑" w:cs="Times New Roman"/>
                      <w:sz w:val="18"/>
                      <w:szCs w:val="18"/>
                      <w:lang w:val="en-US" w:eastAsia="zh-CN"/>
                    </w:rPr>
                    <w:t>金沙岛快艇出海-杜拉拉水上市场-小火车博物馆-风月步行街</w:t>
                  </w:r>
                </w:p>
              </w:tc>
              <w:tc>
                <w:tcPr>
                  <w:tcW w:w="743" w:type="dxa"/>
                  <w:tcBorders>
                    <w:tl2br w:val="nil"/>
                    <w:tr2bl w:val="nil"/>
                  </w:tcBorders>
                  <w:noWrap w:val="0"/>
                  <w:vAlign w:val="center"/>
                </w:tcPr>
                <w:p w14:paraId="3FFB1E3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Times New Roman"/>
                      <w:sz w:val="18"/>
                      <w:szCs w:val="18"/>
                      <w:lang w:val="en-US" w:eastAsia="zh-CN"/>
                    </w:rPr>
                  </w:pPr>
                  <w:r>
                    <w:rPr>
                      <w:rFonts w:hint="eastAsia" w:ascii="微软雅黑" w:hAnsi="微软雅黑" w:eastAsia="微软雅黑" w:cs="Times New Roman"/>
                      <w:sz w:val="18"/>
                      <w:szCs w:val="18"/>
                      <w:lang w:val="en-US" w:eastAsia="zh-CN"/>
                    </w:rPr>
                    <w:t>巴士</w:t>
                  </w:r>
                </w:p>
              </w:tc>
              <w:tc>
                <w:tcPr>
                  <w:tcW w:w="1000" w:type="dxa"/>
                  <w:tcBorders>
                    <w:tl2br w:val="nil"/>
                    <w:tr2bl w:val="nil"/>
                  </w:tcBorders>
                  <w:noWrap w:val="0"/>
                  <w:vAlign w:val="center"/>
                </w:tcPr>
                <w:p w14:paraId="5B3646B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Times New Roman"/>
                      <w:sz w:val="18"/>
                      <w:szCs w:val="18"/>
                      <w:lang w:val="en-US" w:eastAsia="zh-CN"/>
                    </w:rPr>
                  </w:pPr>
                  <w:r>
                    <w:rPr>
                      <w:rFonts w:hint="eastAsia" w:ascii="微软雅黑" w:hAnsi="微软雅黑" w:eastAsia="微软雅黑" w:cs="Times New Roman"/>
                      <w:sz w:val="18"/>
                      <w:szCs w:val="18"/>
                      <w:lang w:val="en-US" w:eastAsia="zh-CN"/>
                    </w:rPr>
                    <w:t>酒店内</w:t>
                  </w:r>
                </w:p>
              </w:tc>
              <w:tc>
                <w:tcPr>
                  <w:tcW w:w="1266" w:type="dxa"/>
                  <w:tcBorders>
                    <w:tl2br w:val="nil"/>
                    <w:tr2bl w:val="nil"/>
                  </w:tcBorders>
                  <w:noWrap w:val="0"/>
                  <w:vAlign w:val="top"/>
                </w:tcPr>
                <w:p w14:paraId="77AC414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Times New Roman"/>
                      <w:sz w:val="18"/>
                      <w:szCs w:val="18"/>
                      <w:lang w:val="en-US" w:eastAsia="zh-CN"/>
                    </w:rPr>
                  </w:pPr>
                </w:p>
                <w:p w14:paraId="5A6720C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微软雅黑" w:hAnsi="微软雅黑" w:eastAsia="微软雅黑" w:cs="Times New Roman"/>
                      <w:sz w:val="18"/>
                      <w:szCs w:val="18"/>
                      <w:lang w:val="en-US" w:eastAsia="zh-CN"/>
                    </w:rPr>
                  </w:pPr>
                  <w:r>
                    <w:rPr>
                      <w:rFonts w:hint="default" w:ascii="微软雅黑" w:hAnsi="微软雅黑" w:eastAsia="微软雅黑" w:cs="Times New Roman"/>
                      <w:sz w:val="18"/>
                      <w:szCs w:val="18"/>
                      <w:lang w:val="en-US" w:eastAsia="zh-CN"/>
                    </w:rPr>
                    <w:t>华泰酒家</w:t>
                  </w:r>
                </w:p>
              </w:tc>
              <w:tc>
                <w:tcPr>
                  <w:tcW w:w="1398" w:type="dxa"/>
                  <w:tcBorders>
                    <w:tl2br w:val="nil"/>
                    <w:tr2bl w:val="nil"/>
                  </w:tcBorders>
                  <w:noWrap w:val="0"/>
                  <w:vAlign w:val="top"/>
                </w:tcPr>
                <w:p w14:paraId="5C48B5F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Times New Roman"/>
                      <w:sz w:val="18"/>
                      <w:szCs w:val="18"/>
                      <w:lang w:val="en-US" w:eastAsia="zh-CN"/>
                    </w:rPr>
                  </w:pPr>
                </w:p>
                <w:p w14:paraId="56A7AFF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微软雅黑" w:hAnsi="微软雅黑" w:eastAsia="微软雅黑" w:cs="Times New Roman"/>
                      <w:sz w:val="18"/>
                      <w:szCs w:val="18"/>
                      <w:lang w:val="en-US" w:eastAsia="zh-CN"/>
                    </w:rPr>
                  </w:pPr>
                  <w:r>
                    <w:rPr>
                      <w:rFonts w:hint="eastAsia" w:ascii="微软雅黑" w:hAnsi="微软雅黑" w:eastAsia="微软雅黑" w:cs="Times New Roman"/>
                      <w:sz w:val="18"/>
                      <w:szCs w:val="18"/>
                      <w:lang w:val="en-US" w:eastAsia="zh-CN"/>
                    </w:rPr>
                    <w:t>海鲜BBQ自助餐</w:t>
                  </w:r>
                </w:p>
              </w:tc>
              <w:tc>
                <w:tcPr>
                  <w:tcW w:w="1828" w:type="dxa"/>
                  <w:tcBorders>
                    <w:tl2br w:val="nil"/>
                    <w:tr2bl w:val="nil"/>
                  </w:tcBorders>
                  <w:noWrap w:val="0"/>
                  <w:vAlign w:val="center"/>
                </w:tcPr>
                <w:p w14:paraId="55364AD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Times New Roman"/>
                      <w:sz w:val="18"/>
                      <w:szCs w:val="18"/>
                      <w:lang w:val="en-US" w:eastAsia="zh-CN"/>
                    </w:rPr>
                  </w:pPr>
                  <w:r>
                    <w:rPr>
                      <w:rFonts w:hint="eastAsia" w:ascii="微软雅黑" w:hAnsi="微软雅黑" w:eastAsia="微软雅黑" w:cs="Times New Roman"/>
                      <w:sz w:val="18"/>
                      <w:szCs w:val="18"/>
                      <w:lang w:val="en-US" w:eastAsia="zh-CN"/>
                    </w:rPr>
                    <w:t>芭提雅当五（网评四四钻）带泳池酒店</w:t>
                  </w:r>
                </w:p>
              </w:tc>
            </w:tr>
            <w:tr w14:paraId="43AA9E49">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661" w:hRule="atLeast"/>
              </w:trPr>
              <w:tc>
                <w:tcPr>
                  <w:tcW w:w="730" w:type="dxa"/>
                  <w:tcBorders>
                    <w:tl2br w:val="nil"/>
                    <w:tr2bl w:val="nil"/>
                  </w:tcBorders>
                  <w:noWrap w:val="0"/>
                  <w:vAlign w:val="center"/>
                </w:tcPr>
                <w:p w14:paraId="34295CD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olor w:val="000000"/>
                      <w:sz w:val="18"/>
                      <w:szCs w:val="18"/>
                      <w:lang w:val="en-US" w:eastAsia="zh-CN"/>
                    </w:rPr>
                  </w:pPr>
                  <w:r>
                    <w:rPr>
                      <w:rFonts w:hint="eastAsia" w:ascii="微软雅黑" w:hAnsi="微软雅黑" w:eastAsia="微软雅黑"/>
                      <w:color w:val="000000"/>
                      <w:sz w:val="18"/>
                      <w:szCs w:val="18"/>
                    </w:rPr>
                    <w:t>D</w:t>
                  </w:r>
                  <w:r>
                    <w:rPr>
                      <w:rFonts w:hint="eastAsia" w:ascii="微软雅黑" w:hAnsi="微软雅黑" w:eastAsia="微软雅黑"/>
                      <w:color w:val="000000"/>
                      <w:sz w:val="18"/>
                      <w:szCs w:val="18"/>
                      <w:lang w:val="en-US" w:eastAsia="zh-CN"/>
                    </w:rPr>
                    <w:t>5</w:t>
                  </w:r>
                </w:p>
              </w:tc>
              <w:tc>
                <w:tcPr>
                  <w:tcW w:w="2813" w:type="dxa"/>
                  <w:tcBorders>
                    <w:tl2br w:val="nil"/>
                    <w:tr2bl w:val="nil"/>
                  </w:tcBorders>
                  <w:noWrap w:val="0"/>
                  <w:vAlign w:val="center"/>
                </w:tcPr>
                <w:p w14:paraId="3CCB2C1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Times New Roman"/>
                      <w:sz w:val="18"/>
                      <w:szCs w:val="18"/>
                      <w:lang w:val="en-US" w:eastAsia="zh-CN"/>
                    </w:rPr>
                  </w:pPr>
                  <w:r>
                    <w:rPr>
                      <w:rFonts w:hint="eastAsia" w:ascii="微软雅黑" w:hAnsi="微软雅黑" w:eastAsia="微软雅黑" w:cs="Times New Roman"/>
                      <w:sz w:val="18"/>
                      <w:szCs w:val="18"/>
                      <w:lang w:val="en-US" w:eastAsia="zh-CN"/>
                    </w:rPr>
                    <w:t>四面佛-乳胶制品展览中心-人蛇大战-KINGPOWER免税店-广州</w:t>
                  </w:r>
                </w:p>
              </w:tc>
              <w:tc>
                <w:tcPr>
                  <w:tcW w:w="743" w:type="dxa"/>
                  <w:tcBorders>
                    <w:tl2br w:val="nil"/>
                    <w:tr2bl w:val="nil"/>
                  </w:tcBorders>
                  <w:noWrap w:val="0"/>
                  <w:vAlign w:val="center"/>
                </w:tcPr>
                <w:p w14:paraId="69B00E5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微软雅黑" w:hAnsi="微软雅黑" w:eastAsia="微软雅黑" w:cs="Times New Roman"/>
                      <w:sz w:val="18"/>
                      <w:szCs w:val="18"/>
                      <w:lang w:val="en-US" w:eastAsia="zh-CN"/>
                    </w:rPr>
                  </w:pPr>
                  <w:r>
                    <w:rPr>
                      <w:rFonts w:hint="eastAsia" w:ascii="微软雅黑" w:hAnsi="微软雅黑" w:eastAsia="微软雅黑" w:cs="Times New Roman"/>
                      <w:sz w:val="18"/>
                      <w:szCs w:val="18"/>
                      <w:lang w:val="en-US" w:eastAsia="zh-CN"/>
                    </w:rPr>
                    <w:t>巴士+飞机</w:t>
                  </w:r>
                </w:p>
              </w:tc>
              <w:tc>
                <w:tcPr>
                  <w:tcW w:w="1000" w:type="dxa"/>
                  <w:tcBorders>
                    <w:tl2br w:val="nil"/>
                    <w:tr2bl w:val="nil"/>
                  </w:tcBorders>
                  <w:noWrap w:val="0"/>
                  <w:vAlign w:val="center"/>
                </w:tcPr>
                <w:p w14:paraId="5151B3D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Times New Roman"/>
                      <w:sz w:val="18"/>
                      <w:szCs w:val="18"/>
                      <w:lang w:val="en-US" w:eastAsia="zh-CN"/>
                    </w:rPr>
                  </w:pPr>
                  <w:r>
                    <w:rPr>
                      <w:rFonts w:hint="eastAsia" w:ascii="微软雅黑" w:hAnsi="微软雅黑" w:eastAsia="微软雅黑" w:cs="Times New Roman"/>
                      <w:sz w:val="18"/>
                      <w:szCs w:val="18"/>
                      <w:lang w:val="en-US" w:eastAsia="zh-CN"/>
                    </w:rPr>
                    <w:t>酒店内</w:t>
                  </w:r>
                </w:p>
              </w:tc>
              <w:tc>
                <w:tcPr>
                  <w:tcW w:w="1266" w:type="dxa"/>
                  <w:tcBorders>
                    <w:tl2br w:val="nil"/>
                    <w:tr2bl w:val="nil"/>
                  </w:tcBorders>
                  <w:noWrap w:val="0"/>
                  <w:vAlign w:val="top"/>
                </w:tcPr>
                <w:p w14:paraId="3D874B3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Times New Roman"/>
                      <w:sz w:val="18"/>
                      <w:szCs w:val="18"/>
                      <w:lang w:val="en-US" w:eastAsia="zh-CN"/>
                    </w:rPr>
                  </w:pPr>
                </w:p>
                <w:p w14:paraId="4F51CB7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Times New Roman"/>
                      <w:sz w:val="18"/>
                      <w:szCs w:val="18"/>
                      <w:lang w:val="en-US" w:eastAsia="zh-CN"/>
                    </w:rPr>
                  </w:pPr>
                  <w:r>
                    <w:rPr>
                      <w:rFonts w:hint="eastAsia" w:ascii="微软雅黑" w:hAnsi="微软雅黑" w:eastAsia="微软雅黑" w:cs="Times New Roman"/>
                      <w:sz w:val="18"/>
                      <w:szCs w:val="18"/>
                      <w:lang w:val="en-US" w:eastAsia="zh-CN"/>
                    </w:rPr>
                    <w:t>帝王手抓饭</w:t>
                  </w:r>
                </w:p>
              </w:tc>
              <w:tc>
                <w:tcPr>
                  <w:tcW w:w="1398" w:type="dxa"/>
                  <w:tcBorders>
                    <w:tl2br w:val="nil"/>
                    <w:tr2bl w:val="nil"/>
                  </w:tcBorders>
                  <w:noWrap w:val="0"/>
                  <w:vAlign w:val="top"/>
                </w:tcPr>
                <w:p w14:paraId="54EB786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Times New Roman"/>
                      <w:sz w:val="18"/>
                      <w:szCs w:val="18"/>
                      <w:lang w:val="en-US" w:eastAsia="zh-CN"/>
                    </w:rPr>
                  </w:pPr>
                </w:p>
                <w:p w14:paraId="31FD245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微软雅黑" w:hAnsi="微软雅黑" w:eastAsia="微软雅黑" w:cs="Times New Roman"/>
                      <w:sz w:val="18"/>
                      <w:szCs w:val="18"/>
                      <w:lang w:val="en-US" w:eastAsia="zh-CN"/>
                    </w:rPr>
                  </w:pPr>
                  <w:r>
                    <w:rPr>
                      <w:rFonts w:hint="eastAsia" w:ascii="微软雅黑" w:hAnsi="微软雅黑" w:eastAsia="微软雅黑" w:cs="Times New Roman"/>
                      <w:sz w:val="18"/>
                      <w:szCs w:val="18"/>
                      <w:lang w:val="en-US" w:eastAsia="zh-CN"/>
                    </w:rPr>
                    <w:t>丝路宫廷宴</w:t>
                  </w:r>
                </w:p>
              </w:tc>
              <w:tc>
                <w:tcPr>
                  <w:tcW w:w="1828" w:type="dxa"/>
                  <w:tcBorders>
                    <w:tl2br w:val="nil"/>
                    <w:tr2bl w:val="nil"/>
                  </w:tcBorders>
                  <w:noWrap w:val="0"/>
                  <w:vAlign w:val="center"/>
                </w:tcPr>
                <w:p w14:paraId="21EE78E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Times New Roman"/>
                      <w:sz w:val="18"/>
                      <w:szCs w:val="18"/>
                      <w:lang w:val="en-US" w:eastAsia="zh-CN"/>
                    </w:rPr>
                  </w:pPr>
                  <w:r>
                    <w:rPr>
                      <w:rFonts w:hint="eastAsia" w:ascii="微软雅黑" w:hAnsi="微软雅黑" w:eastAsia="微软雅黑" w:cs="Times New Roman"/>
                      <w:sz w:val="18"/>
                      <w:szCs w:val="18"/>
                      <w:lang w:val="en-US" w:eastAsia="zh-CN"/>
                    </w:rPr>
                    <w:t>飞机上</w:t>
                  </w:r>
                </w:p>
              </w:tc>
            </w:tr>
            <w:tr w14:paraId="693F6874">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661" w:hRule="atLeast"/>
              </w:trPr>
              <w:tc>
                <w:tcPr>
                  <w:tcW w:w="730" w:type="dxa"/>
                  <w:tcBorders>
                    <w:tl2br w:val="nil"/>
                    <w:tr2bl w:val="nil"/>
                  </w:tcBorders>
                  <w:noWrap w:val="0"/>
                  <w:vAlign w:val="center"/>
                </w:tcPr>
                <w:p w14:paraId="3874B89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微软雅黑" w:hAnsi="微软雅黑" w:eastAsia="微软雅黑"/>
                      <w:color w:val="000000"/>
                      <w:sz w:val="18"/>
                      <w:szCs w:val="18"/>
                      <w:lang w:val="en-US" w:eastAsia="zh-CN"/>
                    </w:rPr>
                  </w:pPr>
                  <w:r>
                    <w:rPr>
                      <w:rFonts w:hint="eastAsia" w:ascii="微软雅黑" w:hAnsi="微软雅黑" w:eastAsia="微软雅黑"/>
                      <w:color w:val="000000"/>
                      <w:sz w:val="18"/>
                      <w:szCs w:val="18"/>
                      <w:lang w:val="en-US" w:eastAsia="zh-CN"/>
                    </w:rPr>
                    <w:t>D6</w:t>
                  </w:r>
                </w:p>
              </w:tc>
              <w:tc>
                <w:tcPr>
                  <w:tcW w:w="2813" w:type="dxa"/>
                  <w:tcBorders>
                    <w:tl2br w:val="nil"/>
                    <w:tr2bl w:val="nil"/>
                  </w:tcBorders>
                  <w:noWrap w:val="0"/>
                  <w:vAlign w:val="center"/>
                </w:tcPr>
                <w:p w14:paraId="224ED67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微软雅黑" w:hAnsi="微软雅黑" w:eastAsia="微软雅黑" w:cs="Times New Roman"/>
                      <w:sz w:val="18"/>
                      <w:szCs w:val="18"/>
                      <w:lang w:val="en-US" w:eastAsia="zh-CN"/>
                    </w:rPr>
                  </w:pPr>
                  <w:r>
                    <w:rPr>
                      <w:rFonts w:hint="eastAsia" w:ascii="微软雅黑" w:hAnsi="微软雅黑" w:eastAsia="微软雅黑" w:cs="Times New Roman"/>
                      <w:sz w:val="18"/>
                      <w:szCs w:val="18"/>
                      <w:lang w:val="en-US" w:eastAsia="zh-CN"/>
                    </w:rPr>
                    <w:t>飞机上-广州</w:t>
                  </w:r>
                </w:p>
              </w:tc>
              <w:tc>
                <w:tcPr>
                  <w:tcW w:w="743" w:type="dxa"/>
                  <w:tcBorders>
                    <w:tl2br w:val="nil"/>
                    <w:tr2bl w:val="nil"/>
                  </w:tcBorders>
                  <w:noWrap w:val="0"/>
                  <w:vAlign w:val="center"/>
                </w:tcPr>
                <w:p w14:paraId="4C38161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微软雅黑" w:hAnsi="微软雅黑" w:eastAsia="微软雅黑" w:cs="Times New Roman"/>
                      <w:sz w:val="18"/>
                      <w:szCs w:val="18"/>
                      <w:lang w:val="en-US" w:eastAsia="zh-CN"/>
                    </w:rPr>
                  </w:pPr>
                  <w:r>
                    <w:rPr>
                      <w:rFonts w:hint="eastAsia" w:ascii="微软雅黑" w:hAnsi="微软雅黑" w:eastAsia="微软雅黑" w:cs="Times New Roman"/>
                      <w:sz w:val="18"/>
                      <w:szCs w:val="18"/>
                      <w:lang w:val="en-US" w:eastAsia="zh-CN"/>
                    </w:rPr>
                    <w:t>飞机</w:t>
                  </w:r>
                </w:p>
              </w:tc>
              <w:tc>
                <w:tcPr>
                  <w:tcW w:w="1000" w:type="dxa"/>
                  <w:tcBorders>
                    <w:tl2br w:val="nil"/>
                    <w:tr2bl w:val="nil"/>
                  </w:tcBorders>
                  <w:noWrap w:val="0"/>
                  <w:vAlign w:val="center"/>
                </w:tcPr>
                <w:p w14:paraId="3DE8022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微软雅黑" w:hAnsi="微软雅黑" w:eastAsia="微软雅黑" w:cs="Times New Roman"/>
                      <w:sz w:val="18"/>
                      <w:szCs w:val="18"/>
                      <w:lang w:val="en-US" w:eastAsia="zh-CN"/>
                    </w:rPr>
                  </w:pPr>
                  <w:r>
                    <w:rPr>
                      <w:rFonts w:hint="eastAsia" w:ascii="微软雅黑" w:hAnsi="微软雅黑" w:eastAsia="微软雅黑" w:cs="Times New Roman"/>
                      <w:sz w:val="18"/>
                      <w:szCs w:val="18"/>
                      <w:lang w:val="en-US" w:eastAsia="zh-CN"/>
                    </w:rPr>
                    <w:t>自理</w:t>
                  </w:r>
                </w:p>
              </w:tc>
              <w:tc>
                <w:tcPr>
                  <w:tcW w:w="1266" w:type="dxa"/>
                  <w:tcBorders>
                    <w:tl2br w:val="nil"/>
                    <w:tr2bl w:val="nil"/>
                  </w:tcBorders>
                  <w:noWrap w:val="0"/>
                  <w:vAlign w:val="top"/>
                </w:tcPr>
                <w:p w14:paraId="1216032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Times New Roman"/>
                      <w:sz w:val="18"/>
                      <w:szCs w:val="18"/>
                      <w:lang w:val="en-US" w:eastAsia="zh-CN"/>
                    </w:rPr>
                  </w:pPr>
                </w:p>
                <w:p w14:paraId="13DF7C2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微软雅黑" w:hAnsi="微软雅黑" w:eastAsia="微软雅黑" w:cs="Times New Roman"/>
                      <w:sz w:val="18"/>
                      <w:szCs w:val="18"/>
                      <w:lang w:val="en-US" w:eastAsia="zh-CN"/>
                    </w:rPr>
                  </w:pPr>
                  <w:r>
                    <w:rPr>
                      <w:rFonts w:hint="eastAsia" w:ascii="微软雅黑" w:hAnsi="微软雅黑" w:eastAsia="微软雅黑" w:cs="Times New Roman"/>
                      <w:sz w:val="18"/>
                      <w:szCs w:val="18"/>
                      <w:lang w:val="en-US" w:eastAsia="zh-CN"/>
                    </w:rPr>
                    <w:t>自理</w:t>
                  </w:r>
                </w:p>
              </w:tc>
              <w:tc>
                <w:tcPr>
                  <w:tcW w:w="1398" w:type="dxa"/>
                  <w:tcBorders>
                    <w:tl2br w:val="nil"/>
                    <w:tr2bl w:val="nil"/>
                  </w:tcBorders>
                  <w:noWrap w:val="0"/>
                  <w:vAlign w:val="top"/>
                </w:tcPr>
                <w:p w14:paraId="1794AEF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Times New Roman"/>
                      <w:sz w:val="18"/>
                      <w:szCs w:val="18"/>
                      <w:lang w:val="en-US" w:eastAsia="zh-CN"/>
                    </w:rPr>
                  </w:pPr>
                </w:p>
                <w:p w14:paraId="31EB05C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微软雅黑" w:hAnsi="微软雅黑" w:eastAsia="微软雅黑" w:cs="Times New Roman"/>
                      <w:sz w:val="18"/>
                      <w:szCs w:val="18"/>
                      <w:lang w:val="en-US" w:eastAsia="zh-CN"/>
                    </w:rPr>
                  </w:pPr>
                  <w:r>
                    <w:rPr>
                      <w:rFonts w:hint="eastAsia" w:ascii="微软雅黑" w:hAnsi="微软雅黑" w:eastAsia="微软雅黑" w:cs="Times New Roman"/>
                      <w:sz w:val="18"/>
                      <w:szCs w:val="18"/>
                      <w:lang w:val="en-US" w:eastAsia="zh-CN"/>
                    </w:rPr>
                    <w:t>自理</w:t>
                  </w:r>
                </w:p>
              </w:tc>
              <w:tc>
                <w:tcPr>
                  <w:tcW w:w="1828" w:type="dxa"/>
                  <w:tcBorders>
                    <w:tl2br w:val="nil"/>
                    <w:tr2bl w:val="nil"/>
                  </w:tcBorders>
                  <w:noWrap w:val="0"/>
                  <w:vAlign w:val="center"/>
                </w:tcPr>
                <w:p w14:paraId="743F92E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微软雅黑" w:hAnsi="微软雅黑" w:eastAsia="微软雅黑" w:cs="Times New Roman"/>
                      <w:sz w:val="18"/>
                      <w:szCs w:val="18"/>
                      <w:lang w:val="en-US" w:eastAsia="zh-CN"/>
                    </w:rPr>
                  </w:pPr>
                  <w:r>
                    <w:rPr>
                      <w:rFonts w:hint="eastAsia" w:ascii="微软雅黑" w:hAnsi="微软雅黑" w:eastAsia="微软雅黑" w:cs="Times New Roman"/>
                      <w:sz w:val="18"/>
                      <w:szCs w:val="18"/>
                      <w:lang w:val="en-US" w:eastAsia="zh-CN"/>
                    </w:rPr>
                    <w:t>温馨的家</w:t>
                  </w:r>
                </w:p>
              </w:tc>
            </w:tr>
          </w:tbl>
          <w:p w14:paraId="59ACC64B">
            <w:pPr>
              <w:pStyle w:val="10"/>
              <w:ind w:left="0" w:leftChars="0" w:firstLine="0" w:firstLineChars="0"/>
              <w:rPr>
                <w:rFonts w:hint="eastAsia"/>
                <w:lang w:val="fr-CH" w:eastAsia="zh-CN"/>
              </w:rPr>
            </w:pPr>
          </w:p>
        </w:tc>
      </w:tr>
      <w:tr w14:paraId="70B96E3C">
        <w:tblPrEx>
          <w:tblBorders>
            <w:top w:val="single" w:color="7B7B7B" w:themeColor="accent3" w:themeShade="BF" w:sz="8" w:space="0"/>
            <w:left w:val="single" w:color="7B7B7B" w:themeColor="accent3" w:themeShade="BF" w:sz="8" w:space="0"/>
            <w:bottom w:val="single" w:color="7B7B7B" w:themeColor="accent3" w:themeShade="BF" w:sz="8" w:space="0"/>
            <w:right w:val="single" w:color="7B7B7B" w:themeColor="accent3" w:themeShade="BF" w:sz="8" w:space="0"/>
            <w:insideH w:val="single" w:color="7B7B7B" w:themeColor="accent3" w:themeShade="BF" w:sz="8" w:space="0"/>
            <w:insideV w:val="single" w:color="7B7B7B" w:themeColor="accent3" w:themeShade="BF" w:sz="8" w:space="0"/>
          </w:tblBorders>
          <w:shd w:val="clear" w:color="auto" w:fill="FFFFFF"/>
          <w:tblCellMar>
            <w:top w:w="0" w:type="dxa"/>
            <w:left w:w="108" w:type="dxa"/>
            <w:bottom w:w="0" w:type="dxa"/>
            <w:right w:w="108" w:type="dxa"/>
          </w:tblCellMar>
        </w:tblPrEx>
        <w:trPr>
          <w:gridAfter w:val="1"/>
          <w:wAfter w:w="322" w:type="dxa"/>
          <w:trHeight w:val="420" w:hRule="atLeast"/>
          <w:jc w:val="center"/>
        </w:trPr>
        <w:tc>
          <w:tcPr>
            <w:tcW w:w="659" w:type="dxa"/>
            <w:tcBorders>
              <w:tl2br w:val="nil"/>
              <w:tr2bl w:val="nil"/>
            </w:tcBorders>
            <w:shd w:val="clear" w:color="auto" w:fill="FFFFFF"/>
            <w:noWrap w:val="0"/>
            <w:vAlign w:val="top"/>
          </w:tcPr>
          <w:p w14:paraId="303BDF72">
            <w:pPr>
              <w:jc w:val="center"/>
              <w:rPr>
                <w:rFonts w:hint="eastAsia" w:ascii="宋体" w:hAnsi="宋体" w:eastAsia="宋体"/>
                <w:b/>
                <w:color w:val="000000"/>
                <w:szCs w:val="21"/>
                <w:lang w:eastAsia="zh-CN"/>
              </w:rPr>
            </w:pPr>
            <w:r>
              <w:rPr>
                <w:rFonts w:hint="eastAsia" w:ascii="宋体" w:hAnsi="宋体"/>
                <w:b/>
                <w:color w:val="000000"/>
                <w:szCs w:val="21"/>
                <w:lang w:val="en-US" w:eastAsia="zh-CN"/>
              </w:rPr>
              <w:t>时间</w:t>
            </w:r>
          </w:p>
        </w:tc>
        <w:tc>
          <w:tcPr>
            <w:tcW w:w="7727" w:type="dxa"/>
            <w:tcBorders>
              <w:tl2br w:val="nil"/>
              <w:tr2bl w:val="nil"/>
            </w:tcBorders>
            <w:shd w:val="clear" w:color="auto" w:fill="FFFFFF"/>
            <w:noWrap w:val="0"/>
            <w:vAlign w:val="top"/>
          </w:tcPr>
          <w:p w14:paraId="4C556234">
            <w:pPr>
              <w:jc w:val="center"/>
              <w:rPr>
                <w:rFonts w:hint="eastAsia" w:ascii="宋体" w:hAnsi="宋体" w:eastAsia="宋体"/>
                <w:b/>
                <w:color w:val="000000"/>
                <w:szCs w:val="21"/>
                <w:lang w:val="en-US" w:eastAsia="zh-CN"/>
              </w:rPr>
            </w:pPr>
            <w:r>
              <w:rPr>
                <w:rFonts w:hint="eastAsia" w:ascii="宋体" w:hAnsi="宋体"/>
                <w:b/>
                <w:color w:val="000000"/>
                <w:szCs w:val="21"/>
                <w:lang w:val="en-US" w:eastAsia="zh-CN"/>
              </w:rPr>
              <w:t>行程</w:t>
            </w:r>
          </w:p>
        </w:tc>
        <w:tc>
          <w:tcPr>
            <w:tcW w:w="1334" w:type="dxa"/>
            <w:tcBorders>
              <w:tl2br w:val="nil"/>
              <w:tr2bl w:val="nil"/>
            </w:tcBorders>
            <w:shd w:val="clear" w:color="auto" w:fill="FFFFFF"/>
            <w:noWrap w:val="0"/>
            <w:vAlign w:val="center"/>
          </w:tcPr>
          <w:p w14:paraId="0342900E">
            <w:pPr>
              <w:jc w:val="center"/>
              <w:rPr>
                <w:rFonts w:hint="eastAsia" w:ascii="宋体" w:hAnsi="宋体"/>
                <w:b/>
                <w:color w:val="000000"/>
                <w:szCs w:val="21"/>
              </w:rPr>
            </w:pPr>
            <w:r>
              <w:rPr>
                <w:rFonts w:ascii="宋体" w:hAnsi="宋体"/>
                <w:b/>
                <w:color w:val="000000"/>
                <w:szCs w:val="21"/>
              </w:rPr>
              <w:t>住宿</w:t>
            </w:r>
          </w:p>
        </w:tc>
      </w:tr>
      <w:tr w14:paraId="4739FB90">
        <w:tblPrEx>
          <w:tblBorders>
            <w:top w:val="single" w:color="7B7B7B" w:themeColor="accent3" w:themeShade="BF" w:sz="8" w:space="0"/>
            <w:left w:val="single" w:color="7B7B7B" w:themeColor="accent3" w:themeShade="BF" w:sz="8" w:space="0"/>
            <w:bottom w:val="single" w:color="7B7B7B" w:themeColor="accent3" w:themeShade="BF" w:sz="8" w:space="0"/>
            <w:right w:val="single" w:color="7B7B7B" w:themeColor="accent3" w:themeShade="BF" w:sz="8" w:space="0"/>
            <w:insideH w:val="single" w:color="7B7B7B" w:themeColor="accent3" w:themeShade="BF" w:sz="8" w:space="0"/>
            <w:insideV w:val="single" w:color="7B7B7B" w:themeColor="accent3" w:themeShade="BF" w:sz="8" w:space="0"/>
          </w:tblBorders>
          <w:shd w:val="clear" w:color="auto" w:fill="FFFFFF"/>
          <w:tblCellMar>
            <w:top w:w="0" w:type="dxa"/>
            <w:left w:w="108" w:type="dxa"/>
            <w:bottom w:w="0" w:type="dxa"/>
            <w:right w:w="108" w:type="dxa"/>
          </w:tblCellMar>
        </w:tblPrEx>
        <w:trPr>
          <w:gridAfter w:val="1"/>
          <w:wAfter w:w="322" w:type="dxa"/>
          <w:trHeight w:val="90" w:hRule="atLeast"/>
          <w:jc w:val="center"/>
        </w:trPr>
        <w:tc>
          <w:tcPr>
            <w:tcW w:w="659" w:type="dxa"/>
            <w:tcBorders>
              <w:tl2br w:val="nil"/>
              <w:tr2bl w:val="nil"/>
            </w:tcBorders>
            <w:shd w:val="clear" w:color="auto" w:fill="FFFFFF"/>
            <w:noWrap w:val="0"/>
            <w:vAlign w:val="center"/>
          </w:tcPr>
          <w:p w14:paraId="71576340">
            <w:pPr>
              <w:jc w:val="center"/>
              <w:rPr>
                <w:rFonts w:hint="eastAsia" w:ascii="宋体" w:hAnsi="宋体" w:eastAsia="宋体" w:cs="Arial"/>
                <w:b/>
                <w:bCs w:val="0"/>
                <w:color w:val="FF6600"/>
                <w:sz w:val="18"/>
                <w:szCs w:val="18"/>
                <w:u w:val="none"/>
                <w:lang w:val="en-US" w:eastAsia="zh-CN"/>
              </w:rPr>
            </w:pPr>
            <w:r>
              <w:rPr>
                <w:rFonts w:ascii="宋体" w:hAnsi="宋体" w:cs="Arial"/>
                <w:b/>
                <w:bCs w:val="0"/>
                <w:color w:val="FF6600"/>
                <w:sz w:val="18"/>
                <w:szCs w:val="18"/>
                <w:u w:val="none"/>
              </w:rPr>
              <w:t>D</w:t>
            </w:r>
            <w:r>
              <w:rPr>
                <w:rFonts w:hint="eastAsia" w:ascii="宋体" w:hAnsi="宋体" w:cs="Arial"/>
                <w:b/>
                <w:bCs w:val="0"/>
                <w:color w:val="FF6600"/>
                <w:sz w:val="18"/>
                <w:szCs w:val="18"/>
                <w:u w:val="none"/>
                <w:lang w:val="en-US" w:eastAsia="zh-CN"/>
              </w:rPr>
              <w:t>1</w:t>
            </w:r>
          </w:p>
        </w:tc>
        <w:tc>
          <w:tcPr>
            <w:tcW w:w="7727" w:type="dxa"/>
            <w:tcBorders>
              <w:tl2br w:val="nil"/>
              <w:tr2bl w:val="nil"/>
            </w:tcBorders>
            <w:shd w:val="clear" w:color="auto" w:fill="FFFFFF"/>
            <w:noWrap w:val="0"/>
            <w:vAlign w:val="top"/>
          </w:tcPr>
          <w:p w14:paraId="4B9D017D">
            <w:pPr>
              <w:rPr>
                <w:rFonts w:ascii="宋体" w:hAnsi="宋体"/>
                <w:b/>
                <w:bCs/>
                <w:color w:val="E36C0A"/>
                <w:szCs w:val="21"/>
              </w:rPr>
            </w:pPr>
            <w:r>
              <w:rPr>
                <w:rFonts w:hint="eastAsia" w:ascii="宋体" w:hAnsi="宋体"/>
                <w:b/>
                <w:bCs/>
                <w:color w:val="E36C0A"/>
                <w:szCs w:val="21"/>
                <w:lang w:val="en-US" w:eastAsia="zh-CN"/>
              </w:rPr>
              <w:t>广州-曼谷-泰式古法按摩-747飞机下午茶-泰国国际人妖表演秀</w:t>
            </w:r>
            <w:r>
              <w:rPr>
                <w:rFonts w:hint="eastAsia" w:ascii="宋体" w:hAnsi="宋体"/>
                <w:b/>
                <w:bCs/>
                <w:color w:val="E36C0A"/>
                <w:szCs w:val="21"/>
              </w:rPr>
              <w:t xml:space="preserve">（参考航班：9C7419 </w:t>
            </w:r>
            <w:r>
              <w:rPr>
                <w:rFonts w:hint="eastAsia" w:ascii="宋体" w:hAnsi="宋体"/>
                <w:b/>
                <w:bCs/>
                <w:color w:val="E36C0A"/>
                <w:szCs w:val="21"/>
                <w:lang w:val="en-US" w:eastAsia="zh-CN"/>
              </w:rPr>
              <w:t xml:space="preserve"> 0555-0740/0550-0740</w:t>
            </w:r>
            <w:r>
              <w:rPr>
                <w:rFonts w:hint="eastAsia" w:ascii="宋体" w:hAnsi="宋体"/>
                <w:b/>
                <w:bCs/>
                <w:color w:val="E36C0A"/>
                <w:szCs w:val="21"/>
              </w:rPr>
              <w:t>）</w:t>
            </w:r>
          </w:p>
          <w:p w14:paraId="51F78C06">
            <w:pPr>
              <w:jc w:val="left"/>
              <w:rPr>
                <w:rFonts w:hint="eastAsia" w:ascii="宋体" w:hAnsi="宋体"/>
                <w:bCs/>
                <w:sz w:val="18"/>
                <w:szCs w:val="18"/>
                <w:lang w:val="fr-CH"/>
              </w:rPr>
            </w:pPr>
            <w:r>
              <w:rPr>
                <w:rFonts w:hint="eastAsia" w:ascii="宋体" w:hAnsi="宋体"/>
                <w:bCs/>
                <w:sz w:val="18"/>
                <w:szCs w:val="18"/>
                <w:lang w:val="fr-CH"/>
              </w:rPr>
              <w:t>请团友</w:t>
            </w:r>
            <w:r>
              <w:rPr>
                <w:rFonts w:hint="eastAsia" w:ascii="宋体" w:hAnsi="宋体"/>
                <w:bCs/>
                <w:sz w:val="18"/>
                <w:szCs w:val="18"/>
                <w:lang w:val="en-US" w:eastAsia="zh-CN"/>
              </w:rPr>
              <w:t>提前一天</w:t>
            </w:r>
            <w:r>
              <w:rPr>
                <w:rFonts w:hint="eastAsia" w:ascii="宋体" w:hAnsi="宋体"/>
                <w:bCs/>
                <w:sz w:val="18"/>
                <w:szCs w:val="18"/>
                <w:lang w:val="fr-CH"/>
              </w:rPr>
              <w:t>晚上20</w:t>
            </w:r>
            <w:r>
              <w:rPr>
                <w:rFonts w:hint="eastAsia" w:ascii="宋体" w:hAnsi="宋体"/>
                <w:bCs/>
                <w:sz w:val="18"/>
                <w:szCs w:val="18"/>
                <w:lang w:val="fr-CH" w:eastAsia="zh-CN"/>
              </w:rPr>
              <w:t>：</w:t>
            </w:r>
            <w:r>
              <w:rPr>
                <w:rFonts w:hint="eastAsia" w:ascii="宋体" w:hAnsi="宋体"/>
                <w:bCs/>
                <w:sz w:val="18"/>
                <w:szCs w:val="18"/>
                <w:lang w:val="fr-CH"/>
              </w:rPr>
              <w:t>00自行前往广州白云国际机场</w:t>
            </w:r>
            <w:r>
              <w:rPr>
                <w:rFonts w:hint="eastAsia" w:ascii="宋体" w:hAnsi="宋体"/>
                <w:bCs/>
                <w:sz w:val="18"/>
                <w:szCs w:val="18"/>
                <w:lang w:val="fr-CH" w:eastAsia="zh-CN"/>
              </w:rPr>
              <w:t>，</w:t>
            </w:r>
            <w:r>
              <w:rPr>
                <w:rFonts w:hint="eastAsia" w:ascii="宋体" w:hAnsi="宋体"/>
                <w:bCs/>
                <w:sz w:val="18"/>
                <w:szCs w:val="18"/>
                <w:lang w:val="en-US" w:eastAsia="zh-CN"/>
              </w:rPr>
              <w:t>领队陪同一起回酒店入住。早上</w:t>
            </w:r>
            <w:r>
              <w:rPr>
                <w:rFonts w:hint="eastAsia" w:ascii="宋体" w:hAnsi="宋体"/>
                <w:bCs/>
                <w:sz w:val="18"/>
                <w:szCs w:val="18"/>
                <w:lang w:val="fr-CH"/>
              </w:rPr>
              <w:t>在领队带领下搭乘春秋航空公司国际航班飞往“泰国”-【曼谷】。</w:t>
            </w:r>
          </w:p>
          <w:p w14:paraId="7855D3E3">
            <w:pPr>
              <w:rPr>
                <w:rFonts w:hint="eastAsia" w:ascii="宋体" w:hAnsi="宋体"/>
                <w:color w:val="000000"/>
                <w:kern w:val="0"/>
                <w:sz w:val="18"/>
                <w:szCs w:val="18"/>
                <w:lang w:val="en-US" w:eastAsia="zh-CN"/>
              </w:rPr>
            </w:pPr>
            <w:r>
              <w:rPr>
                <w:rFonts w:hint="eastAsia" w:ascii="宋体" w:hAnsi="宋体" w:eastAsia="宋体" w:cs="Times New Roman"/>
                <w:bCs/>
                <w:kern w:val="2"/>
                <w:sz w:val="18"/>
                <w:szCs w:val="18"/>
                <w:lang w:val="fr-CH" w:eastAsia="zh-CN" w:bidi="ar-SA"/>
              </w:rPr>
              <w:t>●</w:t>
            </w:r>
            <w:r>
              <w:rPr>
                <w:rFonts w:hint="eastAsia" w:ascii="宋体" w:hAnsi="宋体"/>
                <w:color w:val="000000"/>
                <w:kern w:val="0"/>
                <w:sz w:val="18"/>
                <w:szCs w:val="18"/>
                <w:lang w:val="zh-CN"/>
              </w:rPr>
              <w:t>享受我们为大家特别安排的</w:t>
            </w:r>
            <w:r>
              <w:rPr>
                <w:rFonts w:hint="eastAsia" w:ascii="宋体" w:hAnsi="宋体"/>
                <w:color w:val="000000"/>
                <w:kern w:val="0"/>
                <w:sz w:val="18"/>
                <w:szCs w:val="18"/>
                <w:lang w:val="en-US" w:eastAsia="zh-CN"/>
              </w:rPr>
              <w:t>【泰式古法按摩】（时间约60分钟），一解您旅途的疲劳。</w:t>
            </w:r>
          </w:p>
          <w:p w14:paraId="7D6702FE">
            <w:pPr>
              <w:rPr>
                <w:rFonts w:hint="eastAsia" w:ascii="宋体" w:hAnsi="宋体"/>
                <w:color w:val="FF0000"/>
                <w:kern w:val="0"/>
                <w:sz w:val="18"/>
                <w:szCs w:val="18"/>
                <w:lang w:val="en-US" w:eastAsia="zh-CN"/>
              </w:rPr>
            </w:pPr>
            <w:r>
              <w:rPr>
                <w:rFonts w:hint="eastAsia" w:ascii="宋体" w:hAnsi="宋体"/>
                <w:color w:val="FF0000"/>
                <w:kern w:val="0"/>
                <w:sz w:val="18"/>
                <w:szCs w:val="18"/>
                <w:lang w:val="en-US" w:eastAsia="zh-CN"/>
              </w:rPr>
              <w:t>（温馨提示：此为赠送项目，18周岁以下小孩以及60周岁以上老人或者不宜按摩的客人，无法安排按摩，恕不退费或补偿，敬请谅解）。</w:t>
            </w:r>
          </w:p>
          <w:p w14:paraId="1F8F6796">
            <w:pPr>
              <w:pStyle w:val="10"/>
              <w:ind w:left="0" w:leftChars="0" w:firstLine="0" w:firstLineChars="0"/>
              <w:rPr>
                <w:rFonts w:hint="eastAsia" w:ascii="宋体" w:hAnsi="宋体"/>
                <w:color w:val="FF0000"/>
                <w:kern w:val="0"/>
                <w:sz w:val="18"/>
                <w:szCs w:val="18"/>
                <w:lang w:val="en-US" w:eastAsia="zh-CN"/>
              </w:rPr>
            </w:pPr>
            <w:r>
              <w:rPr>
                <w:rFonts w:hint="eastAsia" w:ascii="宋体" w:hAnsi="宋体" w:eastAsia="宋体" w:cs="Times New Roman"/>
                <w:bCs/>
                <w:kern w:val="2"/>
                <w:sz w:val="18"/>
                <w:szCs w:val="18"/>
                <w:lang w:val="fr-CH" w:eastAsia="zh-CN" w:bidi="ar-SA"/>
              </w:rPr>
              <w:t>●</w:t>
            </w:r>
            <w:r>
              <w:rPr>
                <w:rFonts w:hint="eastAsia" w:ascii="宋体" w:hAnsi="宋体"/>
                <w:bCs/>
                <w:sz w:val="18"/>
                <w:szCs w:val="18"/>
                <w:lang w:val="fr-CH"/>
              </w:rPr>
              <w:t>【</w:t>
            </w:r>
            <w:r>
              <w:rPr>
                <w:rFonts w:hint="eastAsia" w:ascii="宋体" w:hAnsi="宋体"/>
                <w:bCs/>
                <w:sz w:val="18"/>
                <w:szCs w:val="18"/>
                <w:lang w:val="fr-CH" w:eastAsia="zh-CN"/>
              </w:rPr>
              <w:t>747飞机下午茶】乘客们请注意：最大的豪华特色波音747飞机改造的咖啡厅连收银小票都是飞机票的样式内部装修简单的改造了一下，保持了飞机原结构不变的程度上装饰了一番，很多拍照角落还可以换装当机长在驾驶室实景实地的拍摄重点来了！飞机外都有豪华跑车停靠，逼格满满，快来乘坐这架飞机吧！</w:t>
            </w:r>
          </w:p>
          <w:p w14:paraId="260212F6">
            <w:pPr>
              <w:rPr>
                <w:rFonts w:hint="eastAsia" w:ascii="宋体" w:hAnsi="宋体"/>
                <w:bCs/>
                <w:sz w:val="18"/>
                <w:szCs w:val="18"/>
                <w:lang w:val="fr-CH"/>
              </w:rPr>
            </w:pPr>
            <w:r>
              <w:rPr>
                <w:rFonts w:hint="eastAsia" w:ascii="宋体" w:hAnsi="宋体" w:eastAsia="宋体" w:cs="Times New Roman"/>
                <w:bCs/>
                <w:kern w:val="2"/>
                <w:sz w:val="18"/>
                <w:szCs w:val="18"/>
                <w:lang w:val="fr-CH" w:eastAsia="zh-CN" w:bidi="ar-SA"/>
              </w:rPr>
              <w:t>●</w:t>
            </w:r>
            <w:r>
              <w:rPr>
                <w:rFonts w:hint="eastAsia" w:ascii="宋体" w:hAnsi="宋体"/>
                <w:bCs/>
                <w:sz w:val="18"/>
                <w:szCs w:val="18"/>
                <w:lang w:val="fr-CH"/>
              </w:rPr>
              <w:t>【国际人妖歌舞】，欣赏佳丽名媛们倾情奉献给大家的精湛演绎，陶醉于红袖飘舞、婀娜多姿、千娇百媚的艺术神韵而会感叹她们的百变神奇。</w:t>
            </w:r>
          </w:p>
          <w:p w14:paraId="24F2C243">
            <w:pPr>
              <w:pStyle w:val="10"/>
              <w:ind w:left="0" w:leftChars="0" w:firstLine="0" w:firstLineChars="0"/>
              <w:rPr>
                <w:rFonts w:hint="eastAsia" w:ascii="宋体" w:hAnsi="宋体" w:eastAsia="宋体" w:cs="Times New Roman"/>
                <w:color w:val="FF0000"/>
                <w:kern w:val="2"/>
                <w:sz w:val="18"/>
                <w:szCs w:val="18"/>
                <w:lang w:val="en-US" w:eastAsia="zh-CN" w:bidi="ar-SA"/>
              </w:rPr>
            </w:pPr>
            <w:r>
              <w:rPr>
                <w:rFonts w:hint="eastAsia" w:ascii="宋体" w:hAnsi="宋体" w:eastAsia="宋体" w:cs="Times New Roman"/>
                <w:color w:val="FF0000"/>
                <w:kern w:val="2"/>
                <w:sz w:val="18"/>
                <w:szCs w:val="18"/>
                <w:lang w:val="en-US" w:eastAsia="zh-CN" w:bidi="ar-SA"/>
              </w:rPr>
              <w:t>参考酒店：广州机场丽湾酒店等，最终确认以提前两天旅行社通知为准。若客人自愿放弃酒店住宿费用、早餐恕不退款。</w:t>
            </w:r>
          </w:p>
          <w:p w14:paraId="39392D6D">
            <w:pPr>
              <w:tabs>
                <w:tab w:val="left" w:pos="640"/>
              </w:tabs>
              <w:rPr>
                <w:rFonts w:hint="eastAsia" w:ascii="宋体" w:hAnsi="宋体"/>
                <w:bCs/>
                <w:sz w:val="18"/>
                <w:szCs w:val="18"/>
                <w:lang w:val="fr-CH"/>
              </w:rPr>
            </w:pPr>
          </w:p>
          <w:p w14:paraId="1E627EDE">
            <w:pPr>
              <w:rPr>
                <w:rFonts w:hint="eastAsia" w:ascii="宋体" w:hAnsi="宋体"/>
                <w:sz w:val="18"/>
                <w:szCs w:val="18"/>
                <w:cs/>
              </w:rPr>
            </w:pPr>
            <w:r>
              <w:rPr>
                <w:rFonts w:hint="eastAsia" w:ascii="宋体" w:hAnsi="宋体" w:eastAsia="宋体"/>
                <w:color w:val="000000"/>
                <w:kern w:val="0"/>
                <w:sz w:val="18"/>
                <w:szCs w:val="18"/>
                <w:lang w:val="fr-CH" w:eastAsia="zh-CN"/>
              </w:rPr>
              <w:t>早</w:t>
            </w:r>
            <w:r>
              <w:rPr>
                <w:rFonts w:hint="eastAsia" w:ascii="宋体" w:hAnsi="宋体"/>
                <w:color w:val="000000"/>
                <w:kern w:val="0"/>
                <w:sz w:val="18"/>
                <w:szCs w:val="18"/>
                <w:lang w:val="en-US" w:eastAsia="zh-CN"/>
              </w:rPr>
              <w:t>餐</w:t>
            </w:r>
            <w:r>
              <w:rPr>
                <w:rFonts w:hint="eastAsia" w:ascii="宋体" w:hAnsi="宋体" w:eastAsia="宋体"/>
                <w:color w:val="000000"/>
                <w:kern w:val="0"/>
                <w:sz w:val="18"/>
                <w:szCs w:val="18"/>
                <w:lang w:val="fr-CH" w:eastAsia="zh-CN"/>
              </w:rPr>
              <w:t>：</w:t>
            </w:r>
            <w:r>
              <w:rPr>
                <w:rFonts w:hint="eastAsia" w:ascii="宋体" w:hAnsi="宋体"/>
                <w:color w:val="000000"/>
                <w:kern w:val="0"/>
                <w:sz w:val="18"/>
                <w:szCs w:val="18"/>
                <w:lang w:val="en-US" w:eastAsia="zh-CN"/>
              </w:rPr>
              <w:t>酒店</w:t>
            </w:r>
            <w:r>
              <w:rPr>
                <w:rFonts w:hint="eastAsia" w:ascii="宋体" w:hAnsi="宋体" w:eastAsia="宋体"/>
                <w:color w:val="000000"/>
                <w:kern w:val="0"/>
                <w:sz w:val="18"/>
                <w:szCs w:val="18"/>
                <w:lang w:val="fr-CH" w:eastAsia="zh-CN"/>
              </w:rPr>
              <w:t>打包早</w:t>
            </w:r>
            <w:r>
              <w:rPr>
                <w:rFonts w:hint="eastAsia" w:ascii="宋体" w:hAnsi="宋体"/>
                <w:color w:val="000000"/>
                <w:kern w:val="0"/>
                <w:sz w:val="18"/>
                <w:szCs w:val="18"/>
                <w:lang w:val="en-US" w:eastAsia="zh-CN"/>
              </w:rPr>
              <w:t xml:space="preserve">  </w:t>
            </w:r>
            <w:r>
              <w:rPr>
                <w:rFonts w:hint="eastAsia" w:ascii="宋体" w:hAnsi="宋体" w:eastAsia="宋体"/>
                <w:color w:val="000000"/>
                <w:kern w:val="0"/>
                <w:sz w:val="18"/>
                <w:szCs w:val="18"/>
                <w:lang w:val="fr-CH" w:eastAsia="zh-CN"/>
              </w:rPr>
              <w:t>午</w:t>
            </w:r>
            <w:r>
              <w:rPr>
                <w:rFonts w:hint="eastAsia" w:ascii="宋体" w:hAnsi="宋体"/>
                <w:color w:val="000000"/>
                <w:kern w:val="0"/>
                <w:sz w:val="18"/>
                <w:szCs w:val="18"/>
                <w:lang w:val="en-US" w:eastAsia="zh-CN"/>
              </w:rPr>
              <w:t>餐</w:t>
            </w:r>
            <w:r>
              <w:rPr>
                <w:rFonts w:hint="eastAsia" w:ascii="宋体" w:hAnsi="宋体" w:eastAsia="宋体"/>
                <w:color w:val="000000"/>
                <w:kern w:val="0"/>
                <w:sz w:val="18"/>
                <w:szCs w:val="18"/>
                <w:lang w:val="fr-CH" w:eastAsia="zh-CN"/>
              </w:rPr>
              <w:t>：泰式自助火锅  晚</w:t>
            </w:r>
            <w:r>
              <w:rPr>
                <w:rFonts w:hint="eastAsia" w:ascii="宋体" w:hAnsi="宋体"/>
                <w:color w:val="000000"/>
                <w:kern w:val="0"/>
                <w:sz w:val="18"/>
                <w:szCs w:val="18"/>
                <w:lang w:val="en-US" w:eastAsia="zh-CN"/>
              </w:rPr>
              <w:t>餐</w:t>
            </w:r>
            <w:r>
              <w:rPr>
                <w:rFonts w:hint="eastAsia" w:ascii="宋体" w:hAnsi="宋体" w:eastAsia="宋体"/>
                <w:color w:val="000000"/>
                <w:kern w:val="0"/>
                <w:sz w:val="18"/>
                <w:szCs w:val="18"/>
                <w:lang w:val="fr-CH" w:eastAsia="zh-CN"/>
              </w:rPr>
              <w:t>：泰</w:t>
            </w:r>
            <w:r>
              <w:rPr>
                <w:rFonts w:hint="eastAsia" w:ascii="宋体" w:hAnsi="宋体"/>
                <w:color w:val="000000"/>
                <w:kern w:val="0"/>
                <w:sz w:val="18"/>
                <w:szCs w:val="18"/>
                <w:lang w:val="en-US" w:eastAsia="zh-CN"/>
              </w:rPr>
              <w:t>式</w:t>
            </w:r>
            <w:r>
              <w:rPr>
                <w:rFonts w:hint="eastAsia" w:ascii="宋体" w:hAnsi="宋体" w:eastAsia="宋体"/>
                <w:color w:val="000000"/>
                <w:kern w:val="0"/>
                <w:sz w:val="18"/>
                <w:szCs w:val="18"/>
                <w:lang w:val="fr-CH" w:eastAsia="zh-CN"/>
              </w:rPr>
              <w:t>围桌餐</w:t>
            </w:r>
          </w:p>
        </w:tc>
        <w:tc>
          <w:tcPr>
            <w:tcW w:w="1334" w:type="dxa"/>
            <w:tcBorders>
              <w:tl2br w:val="nil"/>
              <w:tr2bl w:val="nil"/>
            </w:tcBorders>
            <w:shd w:val="clear" w:color="auto" w:fill="FFFFFF"/>
            <w:noWrap w:val="0"/>
            <w:vAlign w:val="center"/>
          </w:tcPr>
          <w:p w14:paraId="7C3842BC">
            <w:pPr>
              <w:rPr>
                <w:rFonts w:hint="eastAsia" w:ascii="宋体" w:hAnsi="宋体"/>
                <w:b/>
                <w:bCs/>
                <w:color w:val="000000"/>
                <w:sz w:val="18"/>
                <w:szCs w:val="18"/>
              </w:rPr>
            </w:pPr>
            <w:r>
              <w:rPr>
                <w:rFonts w:hint="eastAsia" w:ascii="宋体" w:hAnsi="宋体"/>
                <w:b/>
                <w:bCs/>
                <w:color w:val="000000"/>
                <w:sz w:val="18"/>
                <w:szCs w:val="18"/>
              </w:rPr>
              <w:t>曼谷</w:t>
            </w:r>
            <w:r>
              <w:rPr>
                <w:rFonts w:hint="eastAsia" w:ascii="宋体" w:hAnsi="宋体"/>
                <w:b/>
                <w:bCs/>
                <w:color w:val="000000"/>
                <w:sz w:val="18"/>
                <w:szCs w:val="18"/>
                <w:lang w:val="en-US" w:eastAsia="zh-CN"/>
              </w:rPr>
              <w:t>当地五星（</w:t>
            </w:r>
            <w:r>
              <w:rPr>
                <w:rFonts w:hint="eastAsia" w:ascii="宋体" w:hAnsi="宋体"/>
                <w:b/>
                <w:bCs/>
                <w:color w:val="000000"/>
                <w:sz w:val="18"/>
                <w:szCs w:val="18"/>
              </w:rPr>
              <w:t>网评四钻</w:t>
            </w:r>
            <w:r>
              <w:rPr>
                <w:rFonts w:hint="eastAsia" w:ascii="宋体" w:hAnsi="宋体"/>
                <w:b/>
                <w:bCs/>
                <w:color w:val="000000"/>
                <w:sz w:val="18"/>
                <w:szCs w:val="18"/>
                <w:lang w:eastAsia="zh-CN"/>
              </w:rPr>
              <w:t>）</w:t>
            </w:r>
            <w:r>
              <w:rPr>
                <w:rFonts w:hint="eastAsia" w:ascii="宋体" w:hAnsi="宋体"/>
                <w:b/>
                <w:bCs/>
                <w:color w:val="000000"/>
                <w:sz w:val="18"/>
                <w:szCs w:val="18"/>
              </w:rPr>
              <w:t>泳池酒店</w:t>
            </w:r>
          </w:p>
        </w:tc>
      </w:tr>
      <w:tr w14:paraId="05E1045C">
        <w:tblPrEx>
          <w:tblBorders>
            <w:top w:val="single" w:color="7B7B7B" w:themeColor="accent3" w:themeShade="BF" w:sz="8" w:space="0"/>
            <w:left w:val="single" w:color="7B7B7B" w:themeColor="accent3" w:themeShade="BF" w:sz="8" w:space="0"/>
            <w:bottom w:val="single" w:color="7B7B7B" w:themeColor="accent3" w:themeShade="BF" w:sz="8" w:space="0"/>
            <w:right w:val="single" w:color="7B7B7B" w:themeColor="accent3" w:themeShade="BF" w:sz="8" w:space="0"/>
            <w:insideH w:val="single" w:color="7B7B7B" w:themeColor="accent3" w:themeShade="BF" w:sz="8" w:space="0"/>
            <w:insideV w:val="single" w:color="7B7B7B" w:themeColor="accent3" w:themeShade="BF" w:sz="8" w:space="0"/>
          </w:tblBorders>
          <w:shd w:val="clear" w:color="auto" w:fill="FFFFFF"/>
          <w:tblCellMar>
            <w:top w:w="0" w:type="dxa"/>
            <w:left w:w="108" w:type="dxa"/>
            <w:bottom w:w="0" w:type="dxa"/>
            <w:right w:w="108" w:type="dxa"/>
          </w:tblCellMar>
        </w:tblPrEx>
        <w:trPr>
          <w:gridAfter w:val="1"/>
          <w:wAfter w:w="322" w:type="dxa"/>
          <w:trHeight w:val="498" w:hRule="atLeast"/>
          <w:jc w:val="center"/>
        </w:trPr>
        <w:tc>
          <w:tcPr>
            <w:tcW w:w="659" w:type="dxa"/>
            <w:tcBorders>
              <w:tl2br w:val="nil"/>
              <w:tr2bl w:val="nil"/>
            </w:tcBorders>
            <w:shd w:val="clear" w:color="auto" w:fill="FFFFFF"/>
            <w:noWrap w:val="0"/>
            <w:vAlign w:val="center"/>
          </w:tcPr>
          <w:p w14:paraId="129D5E1D">
            <w:pPr>
              <w:jc w:val="both"/>
              <w:rPr>
                <w:rFonts w:hint="eastAsia" w:ascii="宋体" w:hAnsi="宋体" w:eastAsia="宋体" w:cs="Arial"/>
                <w:b/>
                <w:bCs w:val="0"/>
                <w:color w:val="FF6600"/>
                <w:sz w:val="18"/>
                <w:szCs w:val="18"/>
                <w:u w:val="none"/>
                <w:lang w:val="en-US" w:eastAsia="zh-CN"/>
              </w:rPr>
            </w:pPr>
          </w:p>
          <w:p w14:paraId="050AABFE">
            <w:pPr>
              <w:jc w:val="center"/>
              <w:rPr>
                <w:rFonts w:hint="eastAsia" w:ascii="宋体" w:hAnsi="宋体" w:eastAsia="宋体" w:cs="Arial"/>
                <w:b/>
                <w:bCs w:val="0"/>
                <w:color w:val="FF6600"/>
                <w:sz w:val="18"/>
                <w:szCs w:val="18"/>
                <w:u w:val="none"/>
                <w:lang w:val="en-US" w:eastAsia="zh-CN"/>
              </w:rPr>
            </w:pPr>
            <w:r>
              <w:rPr>
                <w:rFonts w:ascii="宋体" w:hAnsi="宋体" w:cs="Arial"/>
                <w:b/>
                <w:bCs w:val="0"/>
                <w:color w:val="FF6600"/>
                <w:sz w:val="18"/>
                <w:szCs w:val="18"/>
                <w:u w:val="none"/>
              </w:rPr>
              <w:t>D</w:t>
            </w:r>
            <w:r>
              <w:rPr>
                <w:rFonts w:hint="eastAsia" w:ascii="宋体" w:hAnsi="宋体" w:cs="Arial"/>
                <w:b/>
                <w:bCs w:val="0"/>
                <w:color w:val="FF6600"/>
                <w:sz w:val="18"/>
                <w:szCs w:val="18"/>
                <w:u w:val="none"/>
                <w:lang w:val="en-US" w:eastAsia="zh-CN"/>
              </w:rPr>
              <w:t>2</w:t>
            </w:r>
          </w:p>
        </w:tc>
        <w:tc>
          <w:tcPr>
            <w:tcW w:w="7727" w:type="dxa"/>
            <w:tcBorders>
              <w:tl2br w:val="nil"/>
              <w:tr2bl w:val="nil"/>
            </w:tcBorders>
            <w:shd w:val="clear" w:color="auto" w:fill="FFFFFF"/>
            <w:noWrap w:val="0"/>
            <w:vAlign w:val="top"/>
          </w:tcPr>
          <w:p w14:paraId="02DB5159">
            <w:pPr>
              <w:rPr>
                <w:rFonts w:hint="eastAsia" w:ascii="宋体" w:hAnsi="宋体" w:eastAsia="宋体" w:cs="Times New Roman"/>
                <w:b/>
                <w:bCs/>
                <w:color w:val="E36C0A"/>
                <w:szCs w:val="21"/>
              </w:rPr>
            </w:pPr>
            <w:r>
              <w:rPr>
                <w:rFonts w:hint="eastAsia" w:ascii="宋体" w:hAnsi="宋体" w:eastAsia="宋体" w:cs="Times New Roman"/>
                <w:b/>
                <w:bCs/>
                <w:color w:val="E36C0A"/>
                <w:szCs w:val="21"/>
                <w:lang w:val="en-US" w:eastAsia="zh-CN"/>
              </w:rPr>
              <w:t>大皇宫</w:t>
            </w:r>
            <w:r>
              <w:rPr>
                <w:rFonts w:hint="eastAsia" w:ascii="宋体" w:hAnsi="宋体" w:cs="Times New Roman"/>
                <w:b/>
                <w:bCs/>
                <w:color w:val="E36C0A"/>
                <w:szCs w:val="21"/>
                <w:lang w:val="en-US" w:eastAsia="zh-CN"/>
              </w:rPr>
              <w:t>玉佛寺-船游湄南河-JODD</w:t>
            </w:r>
            <w:r>
              <w:rPr>
                <w:rFonts w:hint="eastAsia" w:ascii="宋体" w:hAnsi="宋体" w:eastAsia="宋体" w:cs="Times New Roman"/>
                <w:b/>
                <w:bCs/>
                <w:color w:val="E36C0A"/>
                <w:szCs w:val="21"/>
                <w:lang w:val="en-US" w:eastAsia="zh-CN"/>
              </w:rPr>
              <w:t>夜市</w:t>
            </w:r>
          </w:p>
          <w:p w14:paraId="75C0B5F1">
            <w:pPr>
              <w:pStyle w:val="10"/>
              <w:ind w:left="0" w:leftChars="0" w:firstLine="0" w:firstLineChars="0"/>
              <w:rPr>
                <w:rFonts w:hint="eastAsia" w:ascii="宋体" w:hAnsi="宋体"/>
                <w:color w:val="000000"/>
                <w:kern w:val="0"/>
                <w:sz w:val="18"/>
                <w:szCs w:val="18"/>
                <w:lang w:val="en-US" w:eastAsia="zh-CN"/>
              </w:rPr>
            </w:pPr>
            <w:r>
              <w:rPr>
                <w:rFonts w:hint="eastAsia" w:ascii="宋体" w:hAnsi="宋体"/>
                <w:color w:val="000000"/>
                <w:kern w:val="0"/>
                <w:sz w:val="18"/>
                <w:szCs w:val="18"/>
                <w:lang w:val="zh-CN"/>
              </w:rPr>
              <w:t>酒店早餐后，</w:t>
            </w:r>
            <w:r>
              <w:rPr>
                <w:rFonts w:hint="eastAsia" w:ascii="宋体" w:hAnsi="宋体"/>
                <w:color w:val="000000"/>
                <w:kern w:val="0"/>
                <w:sz w:val="18"/>
                <w:szCs w:val="18"/>
                <w:lang w:val="en-US" w:eastAsia="zh-CN"/>
              </w:rPr>
              <w:t>开始愉快行程。</w:t>
            </w:r>
          </w:p>
          <w:p w14:paraId="224513ED">
            <w:pPr>
              <w:pStyle w:val="10"/>
              <w:ind w:left="0" w:leftChars="0" w:firstLine="0" w:firstLineChars="0"/>
              <w:rPr>
                <w:rFonts w:hint="eastAsia" w:ascii="宋体" w:hAnsi="宋体"/>
                <w:color w:val="000000"/>
                <w:kern w:val="0"/>
                <w:sz w:val="18"/>
                <w:szCs w:val="18"/>
                <w:lang w:val="zh-CN"/>
              </w:rPr>
            </w:pPr>
            <w:r>
              <w:rPr>
                <w:rFonts w:hint="eastAsia" w:ascii="宋体" w:hAnsi="宋体" w:eastAsia="宋体" w:cs="Times New Roman"/>
                <w:bCs/>
                <w:kern w:val="2"/>
                <w:sz w:val="18"/>
                <w:szCs w:val="18"/>
                <w:lang w:val="fr-CH" w:eastAsia="zh-CN" w:bidi="ar-SA"/>
              </w:rPr>
              <w:t>●</w:t>
            </w:r>
            <w:r>
              <w:rPr>
                <w:rFonts w:hint="eastAsia" w:ascii="宋体" w:hAnsi="宋体"/>
                <w:color w:val="000000"/>
                <w:kern w:val="0"/>
                <w:sz w:val="18"/>
                <w:szCs w:val="18"/>
                <w:lang w:val="zh-CN"/>
              </w:rPr>
              <w:t>前往泰国金碧辉煌的【大皇宫】、【玉佛寺】，谷大皇宫，又称大皇宫，是泰国（</w:t>
            </w:r>
            <w:r>
              <w:rPr>
                <w:rFonts w:hint="eastAsia" w:ascii="宋体" w:hAnsi="宋体"/>
                <w:color w:val="000000"/>
                <w:kern w:val="0"/>
                <w:sz w:val="18"/>
                <w:szCs w:val="18"/>
                <w:lang w:val="zh-CN"/>
              </w:rPr>
              <w:fldChar w:fldCharType="begin"/>
            </w:r>
            <w:r>
              <w:rPr>
                <w:rFonts w:hint="eastAsia" w:ascii="宋体" w:hAnsi="宋体"/>
                <w:color w:val="000000"/>
                <w:kern w:val="0"/>
                <w:sz w:val="18"/>
                <w:szCs w:val="18"/>
                <w:lang w:val="zh-CN"/>
              </w:rPr>
              <w:instrText xml:space="preserve"> HYPERLINK "https://baike.baidu.com/item/%E6%9A%B9%E7%BD%97/3494923?fromModule=lemma_inlink" \t "https://baike.baidu.com/item/%E6%9B%BC%E8%B0%B7%E5%A4%A7%E7%9A%87%E5%AE%AB/_blank" </w:instrText>
            </w:r>
            <w:r>
              <w:rPr>
                <w:rFonts w:hint="eastAsia" w:ascii="宋体" w:hAnsi="宋体"/>
                <w:color w:val="000000"/>
                <w:kern w:val="0"/>
                <w:sz w:val="18"/>
                <w:szCs w:val="18"/>
                <w:lang w:val="zh-CN"/>
              </w:rPr>
              <w:fldChar w:fldCharType="separate"/>
            </w:r>
            <w:r>
              <w:rPr>
                <w:rFonts w:hint="eastAsia" w:ascii="宋体" w:hAnsi="宋体"/>
                <w:color w:val="000000"/>
                <w:kern w:val="0"/>
                <w:sz w:val="18"/>
                <w:szCs w:val="18"/>
                <w:lang w:val="zh-CN"/>
              </w:rPr>
              <w:t>暹罗</w:t>
            </w:r>
            <w:r>
              <w:rPr>
                <w:rFonts w:hint="eastAsia" w:ascii="宋体" w:hAnsi="宋体"/>
                <w:color w:val="000000"/>
                <w:kern w:val="0"/>
                <w:sz w:val="18"/>
                <w:szCs w:val="18"/>
                <w:lang w:val="zh-CN"/>
              </w:rPr>
              <w:fldChar w:fldCharType="end"/>
            </w:r>
            <w:r>
              <w:rPr>
                <w:rFonts w:hint="eastAsia" w:ascii="宋体" w:hAnsi="宋体"/>
                <w:color w:val="000000"/>
                <w:kern w:val="0"/>
                <w:sz w:val="18"/>
                <w:szCs w:val="18"/>
                <w:lang w:val="zh-CN"/>
              </w:rPr>
              <w:t>）王室的皇宫。紧邻</w:t>
            </w:r>
            <w:r>
              <w:rPr>
                <w:rFonts w:hint="eastAsia" w:ascii="宋体" w:hAnsi="宋体"/>
                <w:color w:val="000000"/>
                <w:kern w:val="0"/>
                <w:sz w:val="18"/>
                <w:szCs w:val="18"/>
                <w:lang w:val="zh-CN"/>
              </w:rPr>
              <w:fldChar w:fldCharType="begin"/>
            </w:r>
            <w:r>
              <w:rPr>
                <w:rFonts w:hint="eastAsia" w:ascii="宋体" w:hAnsi="宋体"/>
                <w:color w:val="000000"/>
                <w:kern w:val="0"/>
                <w:sz w:val="18"/>
                <w:szCs w:val="18"/>
                <w:lang w:val="zh-CN"/>
              </w:rPr>
              <w:instrText xml:space="preserve"> HYPERLINK "https://baike.baidu.com/item/%E6%B9%84%E5%8D%97%E6%B2%B3/3189559?fromModule=lemma_inlink" \t "https://baike.baidu.com/item/%E6%9B%BC%E8%B0%B7%E5%A4%A7%E7%9A%87%E5%AE%AB/_blank" </w:instrText>
            </w:r>
            <w:r>
              <w:rPr>
                <w:rFonts w:hint="eastAsia" w:ascii="宋体" w:hAnsi="宋体"/>
                <w:color w:val="000000"/>
                <w:kern w:val="0"/>
                <w:sz w:val="18"/>
                <w:szCs w:val="18"/>
                <w:lang w:val="zh-CN"/>
              </w:rPr>
              <w:fldChar w:fldCharType="separate"/>
            </w:r>
            <w:r>
              <w:rPr>
                <w:rFonts w:hint="eastAsia" w:ascii="宋体" w:hAnsi="宋体"/>
                <w:color w:val="000000"/>
                <w:kern w:val="0"/>
                <w:sz w:val="18"/>
                <w:szCs w:val="18"/>
                <w:lang w:val="zh-CN"/>
              </w:rPr>
              <w:t>湄南河</w:t>
            </w:r>
            <w:r>
              <w:rPr>
                <w:rFonts w:hint="eastAsia" w:ascii="宋体" w:hAnsi="宋体"/>
                <w:color w:val="000000"/>
                <w:kern w:val="0"/>
                <w:sz w:val="18"/>
                <w:szCs w:val="18"/>
                <w:lang w:val="zh-CN"/>
              </w:rPr>
              <w:fldChar w:fldCharType="end"/>
            </w:r>
            <w:r>
              <w:rPr>
                <w:rFonts w:hint="eastAsia" w:ascii="宋体" w:hAnsi="宋体"/>
                <w:color w:val="000000"/>
                <w:kern w:val="0"/>
                <w:sz w:val="18"/>
                <w:szCs w:val="18"/>
                <w:lang w:val="zh-CN"/>
              </w:rPr>
              <w:t>，是曼谷中心内一处大规模古建筑群（计28座），总面积218400平方米。</w:t>
            </w:r>
            <w:r>
              <w:rPr>
                <w:rFonts w:hint="eastAsia" w:ascii="宋体" w:hAnsi="宋体"/>
                <w:color w:val="000000"/>
                <w:kern w:val="0"/>
                <w:sz w:val="18"/>
                <w:szCs w:val="18"/>
                <w:lang w:val="zh-CN"/>
              </w:rPr>
              <w:fldChar w:fldCharType="begin"/>
            </w:r>
            <w:r>
              <w:rPr>
                <w:rFonts w:hint="eastAsia" w:ascii="宋体" w:hAnsi="宋体"/>
                <w:color w:val="000000"/>
                <w:kern w:val="0"/>
                <w:sz w:val="18"/>
                <w:szCs w:val="18"/>
                <w:lang w:val="zh-CN"/>
              </w:rPr>
              <w:instrText xml:space="preserve"> HYPERLINK "https://baike.baidu.com/item/%E6%9B%BC%E8%B0%B7%E7%8E%8B%E6%9C%9D?fromModule=lemma_inlink" \t "https://baike.baidu.com/item/%E6%9B%BC%E8%B0%B7%E5%A4%A7%E7%9A%87%E5%AE%AB/_blank" </w:instrText>
            </w:r>
            <w:r>
              <w:rPr>
                <w:rFonts w:hint="eastAsia" w:ascii="宋体" w:hAnsi="宋体"/>
                <w:color w:val="000000"/>
                <w:kern w:val="0"/>
                <w:sz w:val="18"/>
                <w:szCs w:val="18"/>
                <w:lang w:val="zh-CN"/>
              </w:rPr>
              <w:fldChar w:fldCharType="separate"/>
            </w:r>
            <w:r>
              <w:rPr>
                <w:rFonts w:hint="eastAsia" w:ascii="宋体" w:hAnsi="宋体"/>
                <w:color w:val="000000"/>
                <w:kern w:val="0"/>
                <w:sz w:val="18"/>
                <w:szCs w:val="18"/>
                <w:lang w:val="zh-CN"/>
              </w:rPr>
              <w:t>曼谷王朝</w:t>
            </w:r>
            <w:r>
              <w:rPr>
                <w:rFonts w:hint="eastAsia" w:ascii="宋体" w:hAnsi="宋体"/>
                <w:color w:val="000000"/>
                <w:kern w:val="0"/>
                <w:sz w:val="18"/>
                <w:szCs w:val="18"/>
                <w:lang w:val="zh-CN"/>
              </w:rPr>
              <w:fldChar w:fldCharType="end"/>
            </w:r>
            <w:r>
              <w:rPr>
                <w:rFonts w:hint="eastAsia" w:ascii="宋体" w:hAnsi="宋体"/>
                <w:color w:val="000000"/>
                <w:kern w:val="0"/>
                <w:sz w:val="18"/>
                <w:szCs w:val="18"/>
                <w:lang w:val="zh-CN"/>
              </w:rPr>
              <w:t>从</w:t>
            </w:r>
            <w:r>
              <w:rPr>
                <w:rFonts w:hint="eastAsia" w:ascii="宋体" w:hAnsi="宋体"/>
                <w:color w:val="000000"/>
                <w:kern w:val="0"/>
                <w:sz w:val="18"/>
                <w:szCs w:val="18"/>
                <w:lang w:val="zh-CN"/>
              </w:rPr>
              <w:fldChar w:fldCharType="begin"/>
            </w:r>
            <w:r>
              <w:rPr>
                <w:rFonts w:hint="eastAsia" w:ascii="宋体" w:hAnsi="宋体"/>
                <w:color w:val="000000"/>
                <w:kern w:val="0"/>
                <w:sz w:val="18"/>
                <w:szCs w:val="18"/>
                <w:lang w:val="zh-CN"/>
              </w:rPr>
              <w:instrText xml:space="preserve"> HYPERLINK "https://baike.baidu.com/item/%E6%8B%89%E7%8E%9B%E4%B8%80%E4%B8%96/5010712?fromModule=lemma_inlink" \t "https://baike.baidu.com/item/%E6%9B%BC%E8%B0%B7%E5%A4%A7%E7%9A%87%E5%AE%AB/_blank" </w:instrText>
            </w:r>
            <w:r>
              <w:rPr>
                <w:rFonts w:hint="eastAsia" w:ascii="宋体" w:hAnsi="宋体"/>
                <w:color w:val="000000"/>
                <w:kern w:val="0"/>
                <w:sz w:val="18"/>
                <w:szCs w:val="18"/>
                <w:lang w:val="zh-CN"/>
              </w:rPr>
              <w:fldChar w:fldCharType="separate"/>
            </w:r>
            <w:r>
              <w:rPr>
                <w:rFonts w:hint="eastAsia" w:ascii="宋体" w:hAnsi="宋体"/>
                <w:color w:val="000000"/>
                <w:kern w:val="0"/>
                <w:sz w:val="18"/>
                <w:szCs w:val="18"/>
                <w:lang w:val="zh-CN"/>
              </w:rPr>
              <w:t>拉玛一世</w:t>
            </w:r>
            <w:r>
              <w:rPr>
                <w:rFonts w:hint="eastAsia" w:ascii="宋体" w:hAnsi="宋体"/>
                <w:color w:val="000000"/>
                <w:kern w:val="0"/>
                <w:sz w:val="18"/>
                <w:szCs w:val="18"/>
                <w:lang w:val="zh-CN"/>
              </w:rPr>
              <w:fldChar w:fldCharType="end"/>
            </w:r>
            <w:r>
              <w:rPr>
                <w:rFonts w:hint="eastAsia" w:ascii="宋体" w:hAnsi="宋体"/>
                <w:color w:val="000000"/>
                <w:kern w:val="0"/>
                <w:sz w:val="18"/>
                <w:szCs w:val="18"/>
                <w:lang w:val="zh-CN"/>
              </w:rPr>
              <w:t>到</w:t>
            </w:r>
            <w:r>
              <w:rPr>
                <w:rFonts w:hint="eastAsia" w:ascii="宋体" w:hAnsi="宋体"/>
                <w:color w:val="000000"/>
                <w:kern w:val="0"/>
                <w:sz w:val="18"/>
                <w:szCs w:val="18"/>
                <w:lang w:val="zh-CN"/>
              </w:rPr>
              <w:fldChar w:fldCharType="begin"/>
            </w:r>
            <w:r>
              <w:rPr>
                <w:rFonts w:hint="eastAsia" w:ascii="宋体" w:hAnsi="宋体"/>
                <w:color w:val="000000"/>
                <w:kern w:val="0"/>
                <w:sz w:val="18"/>
                <w:szCs w:val="18"/>
                <w:lang w:val="zh-CN"/>
              </w:rPr>
              <w:instrText xml:space="preserve"> HYPERLINK "https://baike.baidu.com/item/%E6%8B%89%E7%8E%9B%E5%85%AB%E4%B8%96/5010540?fromModule=lemma_inlink" \t "https://baike.baidu.com/item/%E6%9B%BC%E8%B0%B7%E5%A4%A7%E7%9A%87%E5%AE%AB/_blank" </w:instrText>
            </w:r>
            <w:r>
              <w:rPr>
                <w:rFonts w:hint="eastAsia" w:ascii="宋体" w:hAnsi="宋体"/>
                <w:color w:val="000000"/>
                <w:kern w:val="0"/>
                <w:sz w:val="18"/>
                <w:szCs w:val="18"/>
                <w:lang w:val="zh-CN"/>
              </w:rPr>
              <w:fldChar w:fldCharType="separate"/>
            </w:r>
            <w:r>
              <w:rPr>
                <w:rFonts w:hint="eastAsia" w:ascii="宋体" w:hAnsi="宋体"/>
                <w:color w:val="000000"/>
                <w:kern w:val="0"/>
                <w:sz w:val="18"/>
                <w:szCs w:val="18"/>
                <w:lang w:val="zh-CN"/>
              </w:rPr>
              <w:t>拉玛八世</w:t>
            </w:r>
            <w:r>
              <w:rPr>
                <w:rFonts w:hint="eastAsia" w:ascii="宋体" w:hAnsi="宋体"/>
                <w:color w:val="000000"/>
                <w:kern w:val="0"/>
                <w:sz w:val="18"/>
                <w:szCs w:val="18"/>
                <w:lang w:val="zh-CN"/>
              </w:rPr>
              <w:fldChar w:fldCharType="end"/>
            </w:r>
            <w:r>
              <w:rPr>
                <w:rFonts w:hint="eastAsia" w:ascii="宋体" w:hAnsi="宋体"/>
                <w:color w:val="000000"/>
                <w:kern w:val="0"/>
                <w:sz w:val="18"/>
                <w:szCs w:val="18"/>
                <w:lang w:val="zh-CN"/>
              </w:rPr>
              <w:t>，均居于大皇宫宫内。大皇宫汇聚了泰国的建筑、绘画、雕刻和装潢艺术的精粹。其风格具有鲜明的暹罗建筑艺术特点，故深受各国游人的赞赏，被称为 “泰国艺术大全”。1946年拉玛八世在宫中被刺之后，</w:t>
            </w:r>
            <w:r>
              <w:rPr>
                <w:rFonts w:hint="eastAsia" w:ascii="宋体" w:hAnsi="宋体"/>
                <w:color w:val="000000"/>
                <w:kern w:val="0"/>
                <w:sz w:val="18"/>
                <w:szCs w:val="18"/>
                <w:lang w:val="zh-CN"/>
              </w:rPr>
              <w:fldChar w:fldCharType="begin"/>
            </w:r>
            <w:r>
              <w:rPr>
                <w:rFonts w:hint="eastAsia" w:ascii="宋体" w:hAnsi="宋体"/>
                <w:color w:val="000000"/>
                <w:kern w:val="0"/>
                <w:sz w:val="18"/>
                <w:szCs w:val="18"/>
                <w:lang w:val="zh-CN"/>
              </w:rPr>
              <w:instrText xml:space="preserve"> HYPERLINK "https://baike.baidu.com/item/%E6%8B%89%E7%8E%9B%E4%B9%9D%E4%B8%96/5010468?fromModule=lemma_inlink" \t "https://baike.baidu.com/item/%E6%9B%BC%E8%B0%B7%E5%A4%A7%E7%9A%87%E5%AE%AB/_blank" </w:instrText>
            </w:r>
            <w:r>
              <w:rPr>
                <w:rFonts w:hint="eastAsia" w:ascii="宋体" w:hAnsi="宋体"/>
                <w:color w:val="000000"/>
                <w:kern w:val="0"/>
                <w:sz w:val="18"/>
                <w:szCs w:val="18"/>
                <w:lang w:val="zh-CN"/>
              </w:rPr>
              <w:fldChar w:fldCharType="separate"/>
            </w:r>
            <w:r>
              <w:rPr>
                <w:rFonts w:hint="eastAsia" w:ascii="宋体" w:hAnsi="宋体"/>
                <w:color w:val="000000"/>
                <w:kern w:val="0"/>
                <w:sz w:val="18"/>
                <w:szCs w:val="18"/>
                <w:lang w:val="zh-CN"/>
              </w:rPr>
              <w:t>拉玛九世</w:t>
            </w:r>
            <w:r>
              <w:rPr>
                <w:rFonts w:hint="eastAsia" w:ascii="宋体" w:hAnsi="宋体"/>
                <w:color w:val="000000"/>
                <w:kern w:val="0"/>
                <w:sz w:val="18"/>
                <w:szCs w:val="18"/>
                <w:lang w:val="zh-CN"/>
              </w:rPr>
              <w:fldChar w:fldCharType="end"/>
            </w:r>
            <w:r>
              <w:rPr>
                <w:rFonts w:hint="eastAsia" w:ascii="宋体" w:hAnsi="宋体"/>
                <w:color w:val="000000"/>
                <w:kern w:val="0"/>
                <w:sz w:val="18"/>
                <w:szCs w:val="18"/>
                <w:lang w:val="zh-CN"/>
              </w:rPr>
              <w:t>便搬至大皇宫东面新建的</w:t>
            </w:r>
            <w:r>
              <w:rPr>
                <w:rFonts w:hint="eastAsia" w:ascii="宋体" w:hAnsi="宋体"/>
                <w:color w:val="000000"/>
                <w:kern w:val="0"/>
                <w:sz w:val="18"/>
                <w:szCs w:val="18"/>
                <w:lang w:val="zh-CN"/>
              </w:rPr>
              <w:fldChar w:fldCharType="begin"/>
            </w:r>
            <w:r>
              <w:rPr>
                <w:rFonts w:hint="eastAsia" w:ascii="宋体" w:hAnsi="宋体"/>
                <w:color w:val="000000"/>
                <w:kern w:val="0"/>
                <w:sz w:val="18"/>
                <w:szCs w:val="18"/>
                <w:lang w:val="zh-CN"/>
              </w:rPr>
              <w:instrText xml:space="preserve"> HYPERLINK "https://baike.baidu.com/item/%E9%9B%86%E6%8B%89%E8%BE%BE%E5%AE%AB/18184215?fromModule=lemma_inlink" \t "https://baike.baidu.com/item/%E6%9B%BC%E8%B0%B7%E5%A4%A7%E7%9A%87%E5%AE%AB/_blank" </w:instrText>
            </w:r>
            <w:r>
              <w:rPr>
                <w:rFonts w:hint="eastAsia" w:ascii="宋体" w:hAnsi="宋体"/>
                <w:color w:val="000000"/>
                <w:kern w:val="0"/>
                <w:sz w:val="18"/>
                <w:szCs w:val="18"/>
                <w:lang w:val="zh-CN"/>
              </w:rPr>
              <w:fldChar w:fldCharType="separate"/>
            </w:r>
            <w:r>
              <w:rPr>
                <w:rFonts w:hint="eastAsia" w:ascii="宋体" w:hAnsi="宋体"/>
                <w:color w:val="000000"/>
                <w:kern w:val="0"/>
                <w:sz w:val="18"/>
                <w:szCs w:val="18"/>
                <w:lang w:val="zh-CN"/>
              </w:rPr>
              <w:t>集拉达宫</w:t>
            </w:r>
            <w:r>
              <w:rPr>
                <w:rFonts w:hint="eastAsia" w:ascii="宋体" w:hAnsi="宋体"/>
                <w:color w:val="000000"/>
                <w:kern w:val="0"/>
                <w:sz w:val="18"/>
                <w:szCs w:val="18"/>
                <w:lang w:val="zh-CN"/>
              </w:rPr>
              <w:fldChar w:fldCharType="end"/>
            </w:r>
            <w:r>
              <w:rPr>
                <w:rFonts w:hint="eastAsia" w:ascii="宋体" w:hAnsi="宋体"/>
                <w:color w:val="000000"/>
                <w:kern w:val="0"/>
                <w:sz w:val="18"/>
                <w:szCs w:val="18"/>
                <w:lang w:val="zh-CN"/>
              </w:rPr>
              <w:t>居住。大皇宫除了用于举行加冕典礼、宫廷庆祝等仪式和活动外，平时对外开放，成为泰国著名的游览场所。</w:t>
            </w:r>
          </w:p>
          <w:p w14:paraId="41824D7F">
            <w:pPr>
              <w:rPr>
                <w:rFonts w:hint="eastAsia" w:ascii="宋体" w:hAnsi="宋体"/>
                <w:bCs/>
                <w:sz w:val="18"/>
                <w:szCs w:val="18"/>
                <w:lang w:val="fr-CH" w:eastAsia="zh-CN"/>
              </w:rPr>
            </w:pPr>
            <w:r>
              <w:rPr>
                <w:rFonts w:hint="eastAsia" w:ascii="宋体" w:hAnsi="宋体"/>
                <w:bCs/>
                <w:sz w:val="18"/>
                <w:szCs w:val="18"/>
                <w:lang w:val="fr-CH"/>
              </w:rPr>
              <w:t>●</w:t>
            </w:r>
            <w:r>
              <w:rPr>
                <w:rFonts w:hint="eastAsia" w:ascii="宋体" w:hAnsi="宋体"/>
                <w:sz w:val="18"/>
                <w:szCs w:val="18"/>
              </w:rPr>
              <w:t>【长尾船游湄南河】 (游览时间约30分钟)湄南河又名昭披耶河，是泰国河流中水量最大、长度最长的河流，有泰国“河流之母”之称，同时也被誉为“东方威尼斯”。湄南河全长1352千米，纵穿泰国东南部，流经大城，贯穿曼谷市区，乘坐泰国特色的长尾船欣赏两岸的景色、远眺郑王庙，别有一番风情。</w:t>
            </w:r>
          </w:p>
          <w:p w14:paraId="13CC630E">
            <w:pPr>
              <w:pStyle w:val="10"/>
              <w:ind w:left="0" w:leftChars="0" w:firstLine="0" w:firstLineChars="0"/>
              <w:rPr>
                <w:rFonts w:hint="eastAsia" w:ascii="宋体" w:hAnsi="宋体"/>
                <w:color w:val="000000"/>
                <w:kern w:val="0"/>
                <w:sz w:val="18"/>
                <w:szCs w:val="18"/>
                <w:lang w:val="zh-CN"/>
              </w:rPr>
            </w:pPr>
            <w:r>
              <w:rPr>
                <w:rFonts w:hint="eastAsia" w:ascii="宋体" w:hAnsi="宋体" w:eastAsia="宋体" w:cs="Times New Roman"/>
                <w:bCs/>
                <w:kern w:val="2"/>
                <w:sz w:val="18"/>
                <w:szCs w:val="18"/>
                <w:lang w:val="fr-CH" w:eastAsia="zh-CN" w:bidi="ar-SA"/>
              </w:rPr>
              <w:t>●</w:t>
            </w:r>
            <w:r>
              <w:rPr>
                <w:rFonts w:hint="eastAsia" w:ascii="宋体" w:hAnsi="宋体"/>
                <w:color w:val="000000"/>
                <w:kern w:val="0"/>
                <w:sz w:val="18"/>
                <w:szCs w:val="18"/>
                <w:lang w:val="zh-CN"/>
              </w:rPr>
              <w:t>随</w:t>
            </w:r>
            <w:r>
              <w:rPr>
                <w:rFonts w:hint="eastAsia" w:ascii="宋体" w:hAnsi="宋体"/>
                <w:color w:val="000000"/>
                <w:kern w:val="0"/>
                <w:sz w:val="18"/>
                <w:szCs w:val="18"/>
              </w:rPr>
              <w:t>后</w:t>
            </w:r>
            <w:r>
              <w:rPr>
                <w:rFonts w:hint="eastAsia" w:ascii="宋体" w:hAnsi="宋体"/>
                <w:color w:val="000000"/>
                <w:kern w:val="0"/>
                <w:sz w:val="18"/>
                <w:szCs w:val="18"/>
                <w:lang w:val="zh-CN"/>
              </w:rPr>
              <w:t>前往【</w:t>
            </w:r>
            <w:r>
              <w:rPr>
                <w:rFonts w:hint="eastAsia" w:ascii="宋体" w:hAnsi="宋体"/>
                <w:color w:val="000000"/>
                <w:kern w:val="0"/>
                <w:sz w:val="18"/>
                <w:szCs w:val="18"/>
                <w:lang w:val="en-US" w:eastAsia="zh-CN"/>
              </w:rPr>
              <w:t>JODD夜市</w:t>
            </w:r>
            <w:r>
              <w:rPr>
                <w:rFonts w:hint="eastAsia" w:ascii="宋体" w:hAnsi="宋体"/>
                <w:color w:val="000000"/>
                <w:kern w:val="0"/>
                <w:sz w:val="18"/>
                <w:szCs w:val="18"/>
                <w:lang w:val="zh-CN" w:eastAsia="zh-CN"/>
              </w:rPr>
              <w:t>】夜市不仅还原了之前的夜市色彩，同时还添加了欧洲古堡元素等，俨然成为今年曼谷最亮眼的夜市之一。</w:t>
            </w:r>
          </w:p>
          <w:p w14:paraId="4C0EC988">
            <w:pPr>
              <w:pStyle w:val="10"/>
              <w:ind w:left="0" w:leftChars="0" w:firstLine="0" w:firstLineChars="0"/>
              <w:rPr>
                <w:rFonts w:hint="eastAsia" w:ascii="宋体" w:hAnsi="宋体"/>
                <w:color w:val="FF0000"/>
                <w:kern w:val="0"/>
                <w:sz w:val="18"/>
                <w:szCs w:val="18"/>
              </w:rPr>
            </w:pPr>
            <w:r>
              <w:rPr>
                <w:rFonts w:hint="eastAsia" w:ascii="宋体" w:hAnsi="宋体"/>
                <w:color w:val="FF0000"/>
                <w:kern w:val="0"/>
                <w:sz w:val="18"/>
                <w:szCs w:val="18"/>
              </w:rPr>
              <w:t>温馨提示：</w:t>
            </w:r>
          </w:p>
          <w:p w14:paraId="4CCE1BAB">
            <w:pPr>
              <w:pStyle w:val="10"/>
              <w:ind w:left="0" w:leftChars="0" w:firstLine="0" w:firstLineChars="0"/>
              <w:rPr>
                <w:rFonts w:hint="eastAsia" w:ascii="宋体" w:hAnsi="宋体"/>
                <w:color w:val="FF0000"/>
                <w:kern w:val="0"/>
                <w:sz w:val="18"/>
                <w:szCs w:val="18"/>
              </w:rPr>
            </w:pPr>
            <w:r>
              <w:rPr>
                <w:rFonts w:hint="eastAsia" w:ascii="宋体" w:hAnsi="宋体"/>
                <w:color w:val="FF0000"/>
                <w:kern w:val="0"/>
                <w:sz w:val="18"/>
                <w:szCs w:val="18"/>
              </w:rPr>
              <w:t>1、泰国大皇宫对服装方面要求较严格，不能穿无袖上衣、短裤.男士须穿长裤,女士不可穿露吊带上衣及超短裙；</w:t>
            </w:r>
          </w:p>
          <w:p w14:paraId="2E31C436">
            <w:pPr>
              <w:pStyle w:val="10"/>
              <w:ind w:left="0" w:leftChars="0" w:firstLine="0" w:firstLineChars="0"/>
              <w:rPr>
                <w:rFonts w:hint="eastAsia" w:ascii="宋体" w:hAnsi="宋体"/>
                <w:color w:val="FF0000"/>
                <w:kern w:val="0"/>
                <w:sz w:val="18"/>
                <w:szCs w:val="18"/>
              </w:rPr>
            </w:pPr>
            <w:r>
              <w:rPr>
                <w:rFonts w:hint="eastAsia" w:ascii="宋体" w:hAnsi="宋体"/>
                <w:color w:val="FF0000"/>
                <w:kern w:val="0"/>
                <w:sz w:val="18"/>
                <w:szCs w:val="18"/>
              </w:rPr>
              <w:t>2、着装注意：休闲夏装，游玩最好携带太阳镜</w:t>
            </w:r>
            <w:r>
              <w:rPr>
                <w:rFonts w:hint="eastAsia" w:ascii="宋体" w:hAnsi="宋体"/>
                <w:color w:val="FF0000"/>
                <w:kern w:val="0"/>
                <w:sz w:val="18"/>
                <w:szCs w:val="18"/>
                <w:lang w:eastAsia="zh-CN"/>
              </w:rPr>
              <w:t>、</w:t>
            </w:r>
            <w:r>
              <w:rPr>
                <w:rFonts w:hint="eastAsia" w:ascii="宋体" w:hAnsi="宋体"/>
                <w:color w:val="FF0000"/>
                <w:kern w:val="0"/>
                <w:sz w:val="18"/>
                <w:szCs w:val="18"/>
              </w:rPr>
              <w:t>防晒用品；</w:t>
            </w:r>
          </w:p>
          <w:p w14:paraId="4C7897DD">
            <w:pPr>
              <w:pStyle w:val="10"/>
              <w:ind w:left="0" w:leftChars="0" w:firstLine="0" w:firstLineChars="0"/>
              <w:rPr>
                <w:rFonts w:hint="eastAsia"/>
                <w:lang w:val="fr-CH"/>
              </w:rPr>
            </w:pPr>
          </w:p>
          <w:p w14:paraId="7D8D4FC2">
            <w:pPr>
              <w:rPr>
                <w:rFonts w:hint="eastAsia" w:ascii="宋体" w:hAnsi="宋体" w:eastAsia="宋体"/>
                <w:bCs/>
                <w:sz w:val="18"/>
                <w:szCs w:val="18"/>
                <w:lang w:val="en-US" w:eastAsia="zh-CN"/>
              </w:rPr>
            </w:pPr>
            <w:r>
              <w:rPr>
                <w:rFonts w:hint="eastAsia" w:ascii="宋体" w:hAnsi="宋体"/>
                <w:color w:val="000000"/>
                <w:kern w:val="0"/>
                <w:sz w:val="18"/>
                <w:szCs w:val="18"/>
                <w:lang w:val="fr-CH"/>
              </w:rPr>
              <w:t>早餐：酒店内</w:t>
            </w:r>
            <w:r>
              <w:rPr>
                <w:rFonts w:hint="eastAsia" w:ascii="宋体" w:hAnsi="宋体"/>
                <w:color w:val="000000"/>
                <w:kern w:val="0"/>
                <w:sz w:val="18"/>
                <w:szCs w:val="18"/>
                <w:lang w:val="en-US" w:eastAsia="zh-CN"/>
              </w:rPr>
              <w:t xml:space="preserve">   </w:t>
            </w:r>
            <w:r>
              <w:rPr>
                <w:rFonts w:hint="eastAsia" w:ascii="宋体" w:hAnsi="宋体"/>
                <w:color w:val="000000"/>
                <w:kern w:val="0"/>
                <w:sz w:val="18"/>
                <w:szCs w:val="18"/>
                <w:lang w:val="fr-CH"/>
              </w:rPr>
              <w:t>午餐：</w:t>
            </w:r>
            <w:r>
              <w:rPr>
                <w:rFonts w:hint="eastAsia" w:ascii="微软雅黑" w:hAnsi="微软雅黑" w:eastAsia="微软雅黑" w:cs="Times New Roman"/>
                <w:sz w:val="18"/>
                <w:szCs w:val="18"/>
                <w:lang w:val="en-US" w:eastAsia="zh-CN"/>
              </w:rPr>
              <w:t>泰昌火山排骨自助餐</w:t>
            </w:r>
            <w:r>
              <w:rPr>
                <w:rFonts w:hint="eastAsia" w:ascii="宋体" w:hAnsi="宋体"/>
                <w:color w:val="000000"/>
                <w:kern w:val="0"/>
                <w:sz w:val="18"/>
                <w:szCs w:val="18"/>
                <w:lang w:val="fr-CH"/>
              </w:rPr>
              <w:t xml:space="preserve"> </w:t>
            </w:r>
            <w:r>
              <w:rPr>
                <w:rFonts w:hint="eastAsia" w:ascii="宋体" w:hAnsi="宋体"/>
                <w:color w:val="000000"/>
                <w:kern w:val="0"/>
                <w:sz w:val="18"/>
                <w:szCs w:val="18"/>
                <w:lang w:val="en-US" w:eastAsia="zh-CN"/>
              </w:rPr>
              <w:t xml:space="preserve">  </w:t>
            </w:r>
            <w:r>
              <w:rPr>
                <w:rFonts w:hint="eastAsia" w:ascii="宋体" w:hAnsi="宋体"/>
                <w:color w:val="000000"/>
                <w:kern w:val="0"/>
                <w:sz w:val="18"/>
                <w:szCs w:val="18"/>
                <w:lang w:val="fr-CH"/>
              </w:rPr>
              <w:t xml:space="preserve"> 晚餐：</w:t>
            </w:r>
            <w:r>
              <w:rPr>
                <w:rFonts w:hint="eastAsia" w:ascii="微软雅黑" w:hAnsi="微软雅黑" w:eastAsia="微软雅黑" w:cs="Times New Roman"/>
                <w:sz w:val="18"/>
                <w:szCs w:val="18"/>
                <w:lang w:val="en-US" w:eastAsia="zh-CN"/>
              </w:rPr>
              <w:t>泰式风味餐</w:t>
            </w:r>
          </w:p>
        </w:tc>
        <w:tc>
          <w:tcPr>
            <w:tcW w:w="1334" w:type="dxa"/>
            <w:tcBorders>
              <w:tl2br w:val="nil"/>
              <w:tr2bl w:val="nil"/>
            </w:tcBorders>
            <w:shd w:val="clear" w:color="auto" w:fill="FFFFFF"/>
            <w:noWrap w:val="0"/>
            <w:vAlign w:val="center"/>
          </w:tcPr>
          <w:p w14:paraId="1D7AA720">
            <w:pPr>
              <w:ind w:firstLine="181" w:firstLineChars="100"/>
              <w:rPr>
                <w:rFonts w:hint="eastAsia" w:ascii="宋体" w:hAnsi="宋体"/>
                <w:b/>
                <w:bCs/>
                <w:color w:val="000000"/>
                <w:sz w:val="18"/>
                <w:szCs w:val="18"/>
              </w:rPr>
            </w:pPr>
          </w:p>
          <w:p w14:paraId="21BFBED0">
            <w:pPr>
              <w:jc w:val="center"/>
              <w:rPr>
                <w:rFonts w:hint="eastAsia" w:ascii="宋体" w:hAnsi="宋体"/>
                <w:b/>
                <w:bCs/>
                <w:color w:val="000000"/>
                <w:sz w:val="18"/>
                <w:szCs w:val="18"/>
              </w:rPr>
            </w:pPr>
            <w:r>
              <w:rPr>
                <w:rFonts w:hint="eastAsia" w:ascii="宋体" w:hAnsi="宋体"/>
                <w:b/>
                <w:bCs/>
                <w:color w:val="000000"/>
                <w:sz w:val="18"/>
                <w:szCs w:val="18"/>
              </w:rPr>
              <w:t>曼谷</w:t>
            </w:r>
            <w:r>
              <w:rPr>
                <w:rFonts w:hint="eastAsia" w:ascii="宋体" w:hAnsi="宋体"/>
                <w:b/>
                <w:bCs/>
                <w:color w:val="000000"/>
                <w:sz w:val="18"/>
                <w:szCs w:val="18"/>
                <w:lang w:val="en-US" w:eastAsia="zh-CN"/>
              </w:rPr>
              <w:t>当地五星（</w:t>
            </w:r>
            <w:r>
              <w:rPr>
                <w:rFonts w:hint="eastAsia" w:ascii="宋体" w:hAnsi="宋体"/>
                <w:b/>
                <w:bCs/>
                <w:color w:val="000000"/>
                <w:sz w:val="18"/>
                <w:szCs w:val="18"/>
              </w:rPr>
              <w:t>网评四钻</w:t>
            </w:r>
            <w:r>
              <w:rPr>
                <w:rFonts w:hint="eastAsia" w:ascii="宋体" w:hAnsi="宋体"/>
                <w:b/>
                <w:bCs/>
                <w:color w:val="000000"/>
                <w:sz w:val="18"/>
                <w:szCs w:val="18"/>
                <w:lang w:eastAsia="zh-CN"/>
              </w:rPr>
              <w:t>）</w:t>
            </w:r>
            <w:r>
              <w:rPr>
                <w:rFonts w:hint="eastAsia" w:ascii="宋体" w:hAnsi="宋体"/>
                <w:b/>
                <w:bCs/>
                <w:color w:val="000000"/>
                <w:sz w:val="18"/>
                <w:szCs w:val="18"/>
              </w:rPr>
              <w:t>泳池酒店</w:t>
            </w:r>
          </w:p>
        </w:tc>
      </w:tr>
      <w:tr w14:paraId="3C9B6D0D">
        <w:tblPrEx>
          <w:tblBorders>
            <w:top w:val="single" w:color="7B7B7B" w:themeColor="accent3" w:themeShade="BF" w:sz="8" w:space="0"/>
            <w:left w:val="single" w:color="7B7B7B" w:themeColor="accent3" w:themeShade="BF" w:sz="8" w:space="0"/>
            <w:bottom w:val="single" w:color="7B7B7B" w:themeColor="accent3" w:themeShade="BF" w:sz="8" w:space="0"/>
            <w:right w:val="single" w:color="7B7B7B" w:themeColor="accent3" w:themeShade="BF" w:sz="8" w:space="0"/>
            <w:insideH w:val="single" w:color="7B7B7B" w:themeColor="accent3" w:themeShade="BF" w:sz="8" w:space="0"/>
            <w:insideV w:val="single" w:color="7B7B7B" w:themeColor="accent3" w:themeShade="BF" w:sz="8" w:space="0"/>
          </w:tblBorders>
          <w:shd w:val="clear" w:color="auto" w:fill="FFFFFF"/>
          <w:tblCellMar>
            <w:top w:w="0" w:type="dxa"/>
            <w:left w:w="108" w:type="dxa"/>
            <w:bottom w:w="0" w:type="dxa"/>
            <w:right w:w="108" w:type="dxa"/>
          </w:tblCellMar>
        </w:tblPrEx>
        <w:trPr>
          <w:gridAfter w:val="1"/>
          <w:wAfter w:w="322" w:type="dxa"/>
          <w:trHeight w:val="294" w:hRule="atLeast"/>
          <w:jc w:val="center"/>
        </w:trPr>
        <w:tc>
          <w:tcPr>
            <w:tcW w:w="659" w:type="dxa"/>
            <w:tcBorders>
              <w:tl2br w:val="nil"/>
              <w:tr2bl w:val="nil"/>
            </w:tcBorders>
            <w:shd w:val="clear" w:color="auto" w:fill="FFFFFF"/>
            <w:noWrap w:val="0"/>
            <w:vAlign w:val="center"/>
          </w:tcPr>
          <w:p w14:paraId="250B04CD">
            <w:pPr>
              <w:jc w:val="center"/>
              <w:rPr>
                <w:rFonts w:hint="eastAsia" w:ascii="宋体" w:hAnsi="宋体" w:eastAsia="宋体" w:cs="Arial"/>
                <w:b/>
                <w:bCs w:val="0"/>
                <w:color w:val="FF6600"/>
                <w:sz w:val="18"/>
                <w:szCs w:val="18"/>
                <w:u w:val="none"/>
                <w:lang w:val="en-US" w:eastAsia="zh-CN"/>
              </w:rPr>
            </w:pPr>
            <w:r>
              <w:rPr>
                <w:rFonts w:ascii="宋体" w:hAnsi="宋体" w:cs="Arial"/>
                <w:b/>
                <w:bCs w:val="0"/>
                <w:color w:val="FF6600"/>
                <w:sz w:val="18"/>
                <w:szCs w:val="18"/>
                <w:u w:val="none"/>
              </w:rPr>
              <w:t>D</w:t>
            </w:r>
            <w:r>
              <w:rPr>
                <w:rFonts w:hint="eastAsia" w:ascii="宋体" w:hAnsi="宋体" w:cs="Arial"/>
                <w:b/>
                <w:bCs w:val="0"/>
                <w:color w:val="FF6600"/>
                <w:sz w:val="18"/>
                <w:szCs w:val="18"/>
                <w:u w:val="none"/>
                <w:lang w:val="en-US" w:eastAsia="zh-CN"/>
              </w:rPr>
              <w:t>3</w:t>
            </w:r>
          </w:p>
        </w:tc>
        <w:tc>
          <w:tcPr>
            <w:tcW w:w="7727" w:type="dxa"/>
            <w:tcBorders>
              <w:tl2br w:val="nil"/>
              <w:tr2bl w:val="nil"/>
            </w:tcBorders>
            <w:shd w:val="clear" w:color="auto" w:fill="FFFFFF"/>
            <w:noWrap w:val="0"/>
            <w:vAlign w:val="top"/>
          </w:tcPr>
          <w:p w14:paraId="7D6EFD5D">
            <w:pPr>
              <w:rPr>
                <w:rFonts w:hint="default" w:eastAsia="宋体" w:cs="Calibri"/>
                <w:b/>
                <w:bCs/>
                <w:color w:val="E36C0A"/>
                <w:szCs w:val="21"/>
                <w:lang w:val="en-US" w:eastAsia="zh-CN"/>
              </w:rPr>
            </w:pPr>
            <w:r>
              <w:rPr>
                <w:rFonts w:hint="eastAsia" w:cs="Calibri"/>
                <w:b/>
                <w:bCs/>
                <w:color w:val="E36C0A"/>
                <w:szCs w:val="21"/>
                <w:lang w:val="en-US" w:eastAsia="zh-CN"/>
              </w:rPr>
              <w:t>珠宝展示中心-泰爽庄园（骑大象+泼水+水果大餐（含榴莲））-东方公主号</w:t>
            </w:r>
          </w:p>
          <w:p w14:paraId="6E446995">
            <w:pPr>
              <w:keepNext w:val="0"/>
              <w:keepLines w:val="0"/>
              <w:widowControl/>
              <w:suppressLineNumbers w:val="0"/>
              <w:jc w:val="left"/>
              <w:rPr>
                <w:rFonts w:hint="eastAsia" w:ascii="宋体" w:hAnsi="宋体"/>
                <w:color w:val="000000"/>
                <w:kern w:val="0"/>
                <w:sz w:val="18"/>
                <w:szCs w:val="18"/>
                <w:lang w:val="en-US" w:eastAsia="zh-CN"/>
              </w:rPr>
            </w:pPr>
            <w:r>
              <w:rPr>
                <w:rFonts w:hint="eastAsia" w:ascii="宋体" w:hAnsi="宋体"/>
                <w:color w:val="000000"/>
                <w:kern w:val="0"/>
                <w:sz w:val="18"/>
                <w:szCs w:val="18"/>
                <w:lang w:val="en-US" w:eastAsia="zh-CN"/>
              </w:rPr>
              <w:t>早餐后，开始愉快行程。</w:t>
            </w:r>
          </w:p>
          <w:p w14:paraId="008FFDDC">
            <w:pPr>
              <w:pStyle w:val="10"/>
              <w:ind w:left="0" w:leftChars="0" w:firstLine="0" w:firstLineChars="0"/>
              <w:rPr>
                <w:rFonts w:hint="eastAsia" w:ascii="宋体" w:hAnsi="宋体"/>
                <w:color w:val="000000"/>
                <w:kern w:val="0"/>
                <w:sz w:val="18"/>
                <w:szCs w:val="18"/>
                <w:lang w:val="en-US" w:eastAsia="zh-CN"/>
              </w:rPr>
            </w:pPr>
            <w:r>
              <w:rPr>
                <w:rFonts w:hint="eastAsia" w:ascii="宋体" w:hAnsi="宋体" w:eastAsia="宋体" w:cs="Times New Roman"/>
                <w:bCs/>
                <w:kern w:val="2"/>
                <w:sz w:val="18"/>
                <w:szCs w:val="18"/>
                <w:lang w:val="fr-CH" w:eastAsia="zh-CN" w:bidi="ar-SA"/>
              </w:rPr>
              <w:t>●【皇家珠宝展示中心】</w:t>
            </w:r>
            <w:r>
              <w:rPr>
                <w:rFonts w:hint="eastAsia" w:ascii="宋体" w:hAnsi="宋体"/>
                <w:bCs/>
                <w:sz w:val="18"/>
                <w:szCs w:val="18"/>
              </w:rPr>
              <w:t>（游览时间约</w:t>
            </w:r>
            <w:r>
              <w:rPr>
                <w:rFonts w:hint="eastAsia" w:ascii="宋体" w:hAnsi="宋体"/>
                <w:bCs/>
                <w:sz w:val="18"/>
                <w:szCs w:val="18"/>
                <w:lang w:val="en-US" w:eastAsia="zh-CN"/>
              </w:rPr>
              <w:t>9</w:t>
            </w:r>
            <w:r>
              <w:rPr>
                <w:rFonts w:hint="eastAsia" w:ascii="宋体" w:hAnsi="宋体"/>
                <w:bCs/>
                <w:sz w:val="18"/>
                <w:szCs w:val="18"/>
              </w:rPr>
              <w:t>0分钟）</w:t>
            </w:r>
            <w:r>
              <w:rPr>
                <w:rFonts w:hint="eastAsia" w:ascii="宋体" w:hAnsi="宋体" w:eastAsia="宋体" w:cs="Times New Roman"/>
                <w:bCs/>
                <w:kern w:val="2"/>
                <w:sz w:val="18"/>
                <w:szCs w:val="18"/>
                <w:lang w:val="fr-CH" w:eastAsia="zh-CN" w:bidi="ar-SA"/>
              </w:rPr>
              <w:t>了解泰国的国粹和泰国人民膜拜的红蓝宝石给您带来运气。</w:t>
            </w:r>
          </w:p>
          <w:p w14:paraId="1781A162">
            <w:pPr>
              <w:pStyle w:val="10"/>
              <w:ind w:left="0" w:leftChars="0" w:firstLine="0" w:firstLineChars="0"/>
              <w:rPr>
                <w:rFonts w:hint="eastAsia" w:ascii="宋体" w:hAnsi="宋体" w:eastAsia="宋体" w:cs="Times New Roman"/>
                <w:bCs/>
                <w:kern w:val="2"/>
                <w:sz w:val="18"/>
                <w:szCs w:val="18"/>
                <w:lang w:val="fr-CH" w:eastAsia="zh-CN" w:bidi="ar-SA"/>
              </w:rPr>
            </w:pPr>
            <w:r>
              <w:rPr>
                <w:rFonts w:hint="eastAsia" w:ascii="宋体" w:hAnsi="宋体" w:eastAsia="宋体" w:cs="Times New Roman"/>
                <w:bCs/>
                <w:kern w:val="2"/>
                <w:sz w:val="18"/>
                <w:szCs w:val="18"/>
                <w:lang w:val="fr-CH" w:eastAsia="zh-CN" w:bidi="ar-SA"/>
              </w:rPr>
              <w:t>●【爽泰度假庄园】</w:t>
            </w:r>
            <w:r>
              <w:rPr>
                <w:rFonts w:hint="eastAsia" w:ascii="宋体" w:hAnsi="宋体"/>
                <w:bCs/>
                <w:sz w:val="18"/>
                <w:szCs w:val="18"/>
              </w:rPr>
              <w:t>（游览时间约60分钟）</w:t>
            </w:r>
            <w:r>
              <w:rPr>
                <w:rFonts w:hint="eastAsia" w:ascii="宋体" w:hAnsi="宋体" w:eastAsia="宋体" w:cs="Times New Roman"/>
                <w:bCs/>
                <w:kern w:val="2"/>
                <w:sz w:val="18"/>
                <w:szCs w:val="18"/>
                <w:lang w:val="fr-CH" w:eastAsia="zh-CN" w:bidi="ar-SA"/>
              </w:rPr>
              <w:t>体验独特的文化氛围和地道的生活方式，领略园内泰国六个地区超400000 平方公尺独具一格的风土人情，您亲临骑大象、</w:t>
            </w:r>
            <w:r>
              <w:rPr>
                <w:rFonts w:hint="eastAsia" w:ascii="宋体" w:hAnsi="宋体" w:cs="Times New Roman"/>
                <w:bCs/>
                <w:kern w:val="2"/>
                <w:sz w:val="18"/>
                <w:szCs w:val="18"/>
                <w:lang w:val="en-US" w:eastAsia="zh-CN" w:bidi="ar-SA"/>
              </w:rPr>
              <w:t>泼水、吃水果大餐</w:t>
            </w:r>
            <w:r>
              <w:rPr>
                <w:rFonts w:hint="eastAsia" w:ascii="宋体" w:hAnsi="宋体" w:eastAsia="宋体" w:cs="Times New Roman"/>
                <w:bCs/>
                <w:kern w:val="2"/>
                <w:sz w:val="18"/>
                <w:szCs w:val="18"/>
                <w:lang w:val="fr-CH" w:eastAsia="zh-CN" w:bidi="ar-SA"/>
              </w:rPr>
              <w:t>，让您和家人一起感受独特的泰式生活。</w:t>
            </w:r>
          </w:p>
          <w:p w14:paraId="41E66800">
            <w:pPr>
              <w:pStyle w:val="10"/>
              <w:ind w:left="0" w:leftChars="0" w:firstLine="0" w:firstLineChars="0"/>
              <w:rPr>
                <w:rFonts w:hint="eastAsia" w:ascii="宋体" w:hAnsi="宋体" w:eastAsia="宋体" w:cs="Times New Roman"/>
                <w:bCs/>
                <w:kern w:val="2"/>
                <w:sz w:val="18"/>
                <w:szCs w:val="18"/>
                <w:lang w:val="fr-CH" w:eastAsia="zh-CN" w:bidi="ar-SA"/>
              </w:rPr>
            </w:pPr>
            <w:r>
              <w:rPr>
                <w:rFonts w:hint="eastAsia" w:ascii="宋体" w:hAnsi="宋体"/>
                <w:bCs/>
                <w:sz w:val="18"/>
                <w:szCs w:val="18"/>
                <w:lang w:val="fr-CH"/>
              </w:rPr>
              <w:t>●【东方公主号】（游览时间约90分钟）在这里，可以饱览暹罗湾夜景。游船上的表演互动性非常强，舞者妩媚妖娆，常与和游客近距离接触。</w:t>
            </w:r>
          </w:p>
          <w:p w14:paraId="535BC001">
            <w:pPr>
              <w:pStyle w:val="10"/>
              <w:ind w:left="0" w:leftChars="0" w:firstLine="0" w:firstLineChars="0"/>
              <w:rPr>
                <w:rFonts w:hint="eastAsia" w:ascii="宋体" w:hAnsi="宋体" w:eastAsia="宋体" w:cs="Times New Roman"/>
                <w:bCs/>
                <w:kern w:val="2"/>
                <w:sz w:val="18"/>
                <w:szCs w:val="18"/>
                <w:lang w:val="fr-CH" w:eastAsia="zh-CN" w:bidi="ar-SA"/>
              </w:rPr>
            </w:pPr>
          </w:p>
          <w:p w14:paraId="798C1E72">
            <w:pPr>
              <w:rPr>
                <w:rFonts w:hint="default" w:ascii="宋体" w:hAnsi="宋体" w:eastAsia="宋体"/>
                <w:b/>
                <w:bCs/>
                <w:color w:val="E36C0A"/>
                <w:szCs w:val="21"/>
                <w:cs/>
                <w:lang w:val="en-US" w:eastAsia="zh-CN"/>
              </w:rPr>
            </w:pPr>
            <w:r>
              <w:rPr>
                <w:rFonts w:hint="eastAsia" w:ascii="宋体" w:hAnsi="宋体"/>
                <w:color w:val="000000"/>
                <w:kern w:val="0"/>
                <w:sz w:val="18"/>
                <w:szCs w:val="18"/>
              </w:rPr>
              <w:t>早餐</w:t>
            </w:r>
            <w:r>
              <w:rPr>
                <w:rFonts w:hint="eastAsia" w:ascii="宋体" w:hAnsi="宋体"/>
                <w:color w:val="000000"/>
                <w:kern w:val="0"/>
                <w:sz w:val="18"/>
                <w:szCs w:val="18"/>
                <w:lang w:val="fr-CH"/>
              </w:rPr>
              <w:t>：酒店内</w:t>
            </w:r>
            <w:r>
              <w:rPr>
                <w:rFonts w:hint="eastAsia" w:ascii="宋体" w:hAnsi="宋体"/>
                <w:color w:val="000000"/>
                <w:kern w:val="0"/>
                <w:sz w:val="18"/>
                <w:szCs w:val="18"/>
                <w:lang w:val="en-US" w:eastAsia="zh-CN"/>
              </w:rPr>
              <w:t xml:space="preserve"> </w:t>
            </w:r>
            <w:r>
              <w:rPr>
                <w:rFonts w:hint="eastAsia" w:ascii="宋体" w:hAnsi="宋体"/>
                <w:color w:val="000000"/>
                <w:kern w:val="0"/>
                <w:sz w:val="18"/>
                <w:szCs w:val="18"/>
                <w:lang w:val="fr-CH"/>
              </w:rPr>
              <w:t xml:space="preserve">  </w:t>
            </w:r>
            <w:r>
              <w:rPr>
                <w:rFonts w:hint="eastAsia" w:ascii="宋体" w:hAnsi="宋体"/>
                <w:color w:val="000000"/>
                <w:kern w:val="0"/>
                <w:sz w:val="18"/>
                <w:szCs w:val="18"/>
              </w:rPr>
              <w:t>午餐</w:t>
            </w:r>
            <w:r>
              <w:rPr>
                <w:rFonts w:hint="eastAsia" w:ascii="宋体" w:hAnsi="宋体"/>
                <w:color w:val="000000"/>
                <w:kern w:val="0"/>
                <w:sz w:val="18"/>
                <w:szCs w:val="18"/>
                <w:lang w:val="fr-CH"/>
              </w:rPr>
              <w:t>：</w:t>
            </w:r>
            <w:r>
              <w:rPr>
                <w:rFonts w:hint="eastAsia" w:ascii="宋体" w:hAnsi="宋体"/>
                <w:color w:val="000000"/>
                <w:kern w:val="0"/>
                <w:sz w:val="18"/>
                <w:szCs w:val="18"/>
                <w:lang w:val="fr-CH" w:eastAsia="zh-CN"/>
              </w:rPr>
              <w:t>泰式风味餐</w:t>
            </w:r>
            <w:r>
              <w:rPr>
                <w:rFonts w:hint="eastAsia" w:ascii="宋体" w:hAnsi="宋体"/>
                <w:color w:val="000000"/>
                <w:kern w:val="0"/>
                <w:sz w:val="18"/>
                <w:szCs w:val="18"/>
                <w:lang w:val="fr-CH"/>
              </w:rPr>
              <w:t xml:space="preserve">  </w:t>
            </w:r>
            <w:r>
              <w:rPr>
                <w:rFonts w:hint="eastAsia" w:ascii="宋体" w:hAnsi="宋体"/>
                <w:color w:val="000000"/>
                <w:kern w:val="0"/>
                <w:sz w:val="18"/>
                <w:szCs w:val="18"/>
              </w:rPr>
              <w:t>晚餐：</w:t>
            </w:r>
            <w:r>
              <w:rPr>
                <w:rFonts w:hint="eastAsia" w:ascii="宋体" w:hAnsi="宋体"/>
                <w:color w:val="000000"/>
                <w:kern w:val="0"/>
                <w:sz w:val="18"/>
                <w:szCs w:val="18"/>
                <w:lang w:val="en-US" w:eastAsia="zh-CN"/>
              </w:rPr>
              <w:t>东方公主号船餐</w:t>
            </w:r>
          </w:p>
        </w:tc>
        <w:tc>
          <w:tcPr>
            <w:tcW w:w="1334" w:type="dxa"/>
            <w:tcBorders>
              <w:tl2br w:val="nil"/>
              <w:tr2bl w:val="nil"/>
            </w:tcBorders>
            <w:shd w:val="clear" w:color="auto" w:fill="FFFFFF"/>
            <w:noWrap w:val="0"/>
            <w:vAlign w:val="center"/>
          </w:tcPr>
          <w:p w14:paraId="6DA4A3D9">
            <w:pPr>
              <w:jc w:val="center"/>
              <w:rPr>
                <w:rFonts w:hint="eastAsia" w:ascii="宋体" w:hAnsi="宋体" w:eastAsia="宋体"/>
                <w:b/>
                <w:bCs/>
                <w:sz w:val="18"/>
                <w:szCs w:val="18"/>
                <w:lang w:eastAsia="zh-CN"/>
              </w:rPr>
            </w:pPr>
            <w:r>
              <w:rPr>
                <w:rFonts w:hint="eastAsia" w:ascii="宋体" w:hAnsi="宋体"/>
                <w:b/>
                <w:bCs/>
                <w:color w:val="000000"/>
                <w:sz w:val="18"/>
                <w:szCs w:val="18"/>
                <w:lang w:val="en-US" w:eastAsia="zh-CN"/>
              </w:rPr>
              <w:t>芭堤雅当地五星（网评四钻）泳池酒店</w:t>
            </w:r>
            <w:r>
              <w:rPr>
                <w:rFonts w:hint="eastAsia" w:ascii="宋体" w:hAnsi="宋体"/>
                <w:bCs/>
                <w:sz w:val="18"/>
                <w:szCs w:val="18"/>
                <w:lang w:val="en-US" w:eastAsia="zh-CN"/>
              </w:rPr>
              <w:t xml:space="preserve"> </w:t>
            </w:r>
          </w:p>
        </w:tc>
      </w:tr>
      <w:tr w14:paraId="62D6DC01">
        <w:tblPrEx>
          <w:tblBorders>
            <w:top w:val="single" w:color="7B7B7B" w:themeColor="accent3" w:themeShade="BF" w:sz="8" w:space="0"/>
            <w:left w:val="single" w:color="7B7B7B" w:themeColor="accent3" w:themeShade="BF" w:sz="8" w:space="0"/>
            <w:bottom w:val="single" w:color="7B7B7B" w:themeColor="accent3" w:themeShade="BF" w:sz="8" w:space="0"/>
            <w:right w:val="single" w:color="7B7B7B" w:themeColor="accent3" w:themeShade="BF" w:sz="8" w:space="0"/>
            <w:insideH w:val="single" w:color="7B7B7B" w:themeColor="accent3" w:themeShade="BF" w:sz="8" w:space="0"/>
            <w:insideV w:val="single" w:color="7B7B7B" w:themeColor="accent3" w:themeShade="BF" w:sz="8" w:space="0"/>
          </w:tblBorders>
          <w:shd w:val="clear" w:color="auto" w:fill="FFFFFF"/>
          <w:tblCellMar>
            <w:top w:w="0" w:type="dxa"/>
            <w:left w:w="108" w:type="dxa"/>
            <w:bottom w:w="0" w:type="dxa"/>
            <w:right w:w="108" w:type="dxa"/>
          </w:tblCellMar>
        </w:tblPrEx>
        <w:trPr>
          <w:gridAfter w:val="1"/>
          <w:wAfter w:w="322" w:type="dxa"/>
          <w:trHeight w:val="1229" w:hRule="atLeast"/>
          <w:jc w:val="center"/>
        </w:trPr>
        <w:tc>
          <w:tcPr>
            <w:tcW w:w="659" w:type="dxa"/>
            <w:tcBorders>
              <w:tl2br w:val="nil"/>
              <w:tr2bl w:val="nil"/>
            </w:tcBorders>
            <w:shd w:val="clear" w:color="auto" w:fill="FFFFFF"/>
            <w:noWrap w:val="0"/>
            <w:vAlign w:val="center"/>
          </w:tcPr>
          <w:p w14:paraId="13A15E8F">
            <w:pPr>
              <w:jc w:val="center"/>
              <w:rPr>
                <w:rFonts w:hint="eastAsia" w:ascii="宋体" w:hAnsi="宋体" w:eastAsia="宋体" w:cs="Arial"/>
                <w:b/>
                <w:bCs w:val="0"/>
                <w:color w:val="FF6600"/>
                <w:sz w:val="18"/>
                <w:szCs w:val="18"/>
                <w:u w:val="none"/>
                <w:lang w:val="en-US" w:eastAsia="zh-CN"/>
              </w:rPr>
            </w:pPr>
            <w:r>
              <w:rPr>
                <w:rFonts w:hint="eastAsia" w:ascii="宋体" w:hAnsi="宋体" w:cs="Arial"/>
                <w:b/>
                <w:bCs w:val="0"/>
                <w:color w:val="FF6600"/>
                <w:sz w:val="18"/>
                <w:szCs w:val="18"/>
                <w:u w:val="none"/>
              </w:rPr>
              <w:t>D</w:t>
            </w:r>
            <w:r>
              <w:rPr>
                <w:rFonts w:hint="eastAsia" w:ascii="宋体" w:hAnsi="宋体" w:cs="Arial"/>
                <w:b/>
                <w:bCs w:val="0"/>
                <w:color w:val="FF6600"/>
                <w:sz w:val="18"/>
                <w:szCs w:val="18"/>
                <w:u w:val="none"/>
                <w:lang w:val="en-US" w:eastAsia="zh-CN"/>
              </w:rPr>
              <w:t>4</w:t>
            </w:r>
          </w:p>
        </w:tc>
        <w:tc>
          <w:tcPr>
            <w:tcW w:w="7727" w:type="dxa"/>
            <w:tcBorders>
              <w:tl2br w:val="nil"/>
              <w:tr2bl w:val="nil"/>
            </w:tcBorders>
            <w:shd w:val="clear" w:color="auto" w:fill="FFFFFF"/>
            <w:noWrap w:val="0"/>
            <w:vAlign w:val="top"/>
          </w:tcPr>
          <w:p w14:paraId="3C94C2D7">
            <w:pPr>
              <w:rPr>
                <w:rFonts w:hint="eastAsia" w:ascii="宋体" w:hAnsi="宋体"/>
                <w:b/>
                <w:bCs/>
                <w:color w:val="E36C0A"/>
                <w:szCs w:val="21"/>
                <w:lang w:val="en-US" w:eastAsia="zh-CN"/>
              </w:rPr>
            </w:pPr>
            <w:r>
              <w:rPr>
                <w:rFonts w:hint="eastAsia" w:ascii="宋体" w:hAnsi="宋体"/>
                <w:b/>
                <w:bCs/>
                <w:color w:val="E36C0A"/>
                <w:szCs w:val="21"/>
                <w:lang w:val="en-US" w:eastAsia="zh-CN"/>
              </w:rPr>
              <w:t>金沙岛快艇出海-杜拉拉水上市场-小火车博物馆-风月步行街</w:t>
            </w:r>
          </w:p>
          <w:p w14:paraId="4F5A7F1B">
            <w:pPr>
              <w:keepNext w:val="0"/>
              <w:keepLines w:val="0"/>
              <w:widowControl/>
              <w:suppressLineNumbers w:val="0"/>
              <w:jc w:val="left"/>
              <w:rPr>
                <w:rFonts w:hint="eastAsia" w:ascii="宋体" w:hAnsi="宋体"/>
                <w:color w:val="000000"/>
                <w:kern w:val="0"/>
                <w:sz w:val="18"/>
                <w:szCs w:val="18"/>
                <w:lang w:val="en-US" w:eastAsia="zh-CN"/>
              </w:rPr>
            </w:pPr>
            <w:r>
              <w:rPr>
                <w:rFonts w:hint="eastAsia" w:ascii="宋体" w:hAnsi="宋体"/>
                <w:color w:val="000000"/>
                <w:kern w:val="0"/>
                <w:sz w:val="18"/>
                <w:szCs w:val="18"/>
                <w:lang w:val="en-US" w:eastAsia="zh-CN"/>
              </w:rPr>
              <w:t>早餐后，开始愉快行程。</w:t>
            </w:r>
          </w:p>
          <w:p w14:paraId="1E994EE3">
            <w:pPr>
              <w:keepNext w:val="0"/>
              <w:keepLines w:val="0"/>
              <w:widowControl/>
              <w:suppressLineNumbers w:val="0"/>
              <w:jc w:val="left"/>
              <w:rPr>
                <w:rFonts w:hint="eastAsia" w:ascii="宋体" w:hAnsi="宋体" w:eastAsia="宋体" w:cs="Times New Roman"/>
                <w:bCs/>
                <w:kern w:val="2"/>
                <w:sz w:val="18"/>
                <w:szCs w:val="18"/>
                <w:lang w:val="fr-CH" w:eastAsia="zh-CN" w:bidi="ar-SA"/>
              </w:rPr>
            </w:pPr>
            <w:r>
              <w:rPr>
                <w:rFonts w:hint="eastAsia" w:ascii="宋体" w:hAnsi="宋体" w:eastAsia="宋体" w:cs="Times New Roman"/>
                <w:bCs/>
                <w:kern w:val="2"/>
                <w:sz w:val="18"/>
                <w:szCs w:val="18"/>
                <w:lang w:val="fr-CH" w:eastAsia="zh-CN" w:bidi="ar-SA"/>
              </w:rPr>
              <w:t>●</w:t>
            </w:r>
            <w:r>
              <w:rPr>
                <w:rFonts w:hint="eastAsia" w:ascii="宋体" w:hAnsi="宋体" w:cs="Times New Roman"/>
                <w:bCs/>
                <w:kern w:val="2"/>
                <w:sz w:val="18"/>
                <w:szCs w:val="18"/>
                <w:lang w:val="fr-CH" w:eastAsia="zh-CN" w:bidi="ar-SA"/>
              </w:rPr>
              <w:t>【</w:t>
            </w:r>
            <w:r>
              <w:rPr>
                <w:rFonts w:hint="eastAsia" w:ascii="宋体" w:hAnsi="宋体" w:eastAsia="宋体" w:cs="Times New Roman"/>
                <w:bCs/>
                <w:kern w:val="2"/>
                <w:sz w:val="18"/>
                <w:szCs w:val="18"/>
                <w:lang w:val="fr-CH" w:eastAsia="zh-CN" w:bidi="ar-SA"/>
              </w:rPr>
              <w:t>金沙岛</w:t>
            </w:r>
            <w:r>
              <w:rPr>
                <w:rFonts w:hint="eastAsia" w:ascii="宋体" w:hAnsi="宋体" w:cs="Times New Roman"/>
                <w:bCs/>
                <w:kern w:val="2"/>
                <w:sz w:val="18"/>
                <w:szCs w:val="18"/>
                <w:lang w:val="fr-CH" w:eastAsia="zh-CN" w:bidi="ar-SA"/>
              </w:rPr>
              <w:t>】</w:t>
            </w:r>
            <w:r>
              <w:rPr>
                <w:rFonts w:hint="eastAsia" w:ascii="宋体" w:hAnsi="宋体" w:eastAsia="宋体" w:cs="Times New Roman"/>
                <w:bCs/>
                <w:kern w:val="2"/>
                <w:sz w:val="18"/>
                <w:szCs w:val="18"/>
                <w:lang w:val="fr-CH" w:eastAsia="zh-CN" w:bidi="ar-SA"/>
              </w:rPr>
              <w:t>位于芭堤雅西边的一个小岛，以其蓝天，碧海，白浪，细沙，阳光，绿树，海鲜，水上活动而名立于泰国，周边海域生长着无数珊瑚，游鱼海胆尽现其中。金沙岛的公众浴滩是一个半月形，长约二公里的浅滩，海水浅蓝浅蓝、晶莹剔透，海岸遍布原始幼白的细沙，煞是令人心动。</w:t>
            </w:r>
          </w:p>
          <w:p w14:paraId="40799BE8">
            <w:pPr>
              <w:keepNext w:val="0"/>
              <w:keepLines w:val="0"/>
              <w:widowControl/>
              <w:suppressLineNumbers w:val="0"/>
              <w:jc w:val="left"/>
              <w:rPr>
                <w:rFonts w:hint="eastAsia" w:ascii="宋体" w:hAnsi="宋体"/>
                <w:color w:val="000000"/>
                <w:kern w:val="0"/>
                <w:sz w:val="18"/>
                <w:szCs w:val="18"/>
                <w:lang w:val="en-US" w:eastAsia="zh-CN"/>
              </w:rPr>
            </w:pPr>
            <w:r>
              <w:rPr>
                <w:rFonts w:hint="eastAsia" w:ascii="宋体" w:hAnsi="宋体"/>
                <w:bCs/>
                <w:sz w:val="18"/>
                <w:szCs w:val="18"/>
                <w:lang w:val="fr-CH"/>
              </w:rPr>
              <w:t>●</w:t>
            </w:r>
            <w:r>
              <w:rPr>
                <w:rFonts w:hint="eastAsia" w:ascii="宋体" w:hAnsi="宋体" w:eastAsia="宋体"/>
                <w:color w:val="000000"/>
                <w:kern w:val="0"/>
                <w:sz w:val="18"/>
                <w:szCs w:val="18"/>
                <w:lang w:val="en-US" w:eastAsia="zh-CN"/>
              </w:rPr>
              <w:t>【杜拉拉水上市场】位于水道中央的水上市场，独具当地特色。位于芭提雅市中心沿素坤逸干道往东方向约5公里处，泰语里叫“四方水上市场”，因其融汇了泰国东部、西部，东北部及南部四个区域水上市场的特色而得名。水上市场里水路纵横，水面上木楼别具风格。</w:t>
            </w:r>
            <w:r>
              <w:rPr>
                <w:rFonts w:hint="eastAsia" w:ascii="宋体" w:hAnsi="宋体"/>
                <w:color w:val="000000"/>
                <w:kern w:val="0"/>
                <w:sz w:val="18"/>
                <w:szCs w:val="18"/>
                <w:lang w:val="en-US" w:eastAsia="zh-CN"/>
              </w:rPr>
              <w:t>可自行选择</w:t>
            </w:r>
            <w:r>
              <w:rPr>
                <w:rFonts w:hint="eastAsia" w:ascii="宋体" w:hAnsi="宋体" w:eastAsia="宋体"/>
                <w:color w:val="000000"/>
                <w:kern w:val="0"/>
                <w:sz w:val="18"/>
                <w:szCs w:val="18"/>
                <w:lang w:val="en-US" w:eastAsia="zh-CN"/>
              </w:rPr>
              <w:t>坐船</w:t>
            </w:r>
            <w:r>
              <w:rPr>
                <w:rFonts w:hint="eastAsia" w:ascii="宋体" w:hAnsi="宋体"/>
                <w:color w:val="000000"/>
                <w:kern w:val="0"/>
                <w:sz w:val="18"/>
                <w:szCs w:val="18"/>
                <w:lang w:val="en-US" w:eastAsia="zh-CN"/>
              </w:rPr>
              <w:t>穿梭在纵横交错的水路里，可观赏到泰国传统的的民族舞，婉转的笙歌。在水市里既可以吃到泰国各地的风味小吃，也可以买到产自于泰国各地的特产以及工艺品（自由选择，理性消费）。</w:t>
            </w:r>
          </w:p>
          <w:p w14:paraId="7C994A1F">
            <w:pPr>
              <w:keepNext w:val="0"/>
              <w:keepLines w:val="0"/>
              <w:widowControl/>
              <w:suppressLineNumbers w:val="0"/>
              <w:jc w:val="left"/>
              <w:rPr>
                <w:rFonts w:hint="eastAsia" w:ascii="宋体" w:hAnsi="宋体"/>
                <w:color w:val="000000"/>
                <w:kern w:val="0"/>
                <w:sz w:val="18"/>
                <w:szCs w:val="18"/>
                <w:lang w:val="en-US" w:eastAsia="zh-CN"/>
              </w:rPr>
            </w:pPr>
            <w:r>
              <w:rPr>
                <w:rFonts w:hint="eastAsia" w:ascii="宋体" w:hAnsi="宋体"/>
                <w:bCs/>
                <w:sz w:val="18"/>
                <w:szCs w:val="18"/>
                <w:lang w:val="fr-CH"/>
              </w:rPr>
              <w:t>●</w:t>
            </w:r>
            <w:r>
              <w:rPr>
                <w:rFonts w:hint="eastAsia" w:ascii="宋体" w:hAnsi="宋体" w:eastAsia="宋体" w:cs="Times New Roman"/>
                <w:bCs/>
                <w:kern w:val="2"/>
                <w:sz w:val="18"/>
                <w:szCs w:val="18"/>
                <w:lang w:val="fr-CH" w:eastAsia="zh-CN" w:bidi="ar-SA"/>
              </w:rPr>
              <w:t>【小火车博物馆】（</w:t>
            </w:r>
            <w:r>
              <w:rPr>
                <w:rFonts w:hint="eastAsia" w:ascii="宋体" w:hAnsi="宋体" w:eastAsia="宋体" w:cs="Times New Roman"/>
                <w:bCs/>
                <w:kern w:val="2"/>
                <w:sz w:val="18"/>
                <w:szCs w:val="18"/>
                <w:lang w:val="en-US" w:eastAsia="zh-CN" w:bidi="ar-SA"/>
              </w:rPr>
              <w:t>游览时间约60分钟）乘坐坐着小火车，游览介绍主要泰国是如何开采矿石，挖掘水晶，打磨制作宝石）（真人打磨制作过程禁止拍照）</w:t>
            </w:r>
            <w:r>
              <w:rPr>
                <w:rFonts w:hint="eastAsia" w:ascii="宋体" w:hAnsi="宋体" w:cs="Times New Roman"/>
                <w:bCs/>
                <w:kern w:val="2"/>
                <w:sz w:val="18"/>
                <w:szCs w:val="18"/>
                <w:lang w:val="en-US" w:eastAsia="zh-CN" w:bidi="ar-SA"/>
              </w:rPr>
              <w:t>。</w:t>
            </w:r>
          </w:p>
          <w:p w14:paraId="29FFEE4F">
            <w:pPr>
              <w:rPr>
                <w:rFonts w:hint="eastAsia" w:ascii="宋体" w:hAnsi="宋体"/>
                <w:bCs/>
                <w:sz w:val="18"/>
                <w:szCs w:val="18"/>
                <w:lang w:val="fr-CH" w:eastAsia="zh-CN"/>
              </w:rPr>
            </w:pPr>
            <w:r>
              <w:rPr>
                <w:rFonts w:hint="eastAsia" w:ascii="宋体" w:hAnsi="宋体"/>
                <w:bCs/>
                <w:sz w:val="18"/>
                <w:szCs w:val="18"/>
                <w:lang w:val="fr-CH"/>
              </w:rPr>
              <w:t>●</w:t>
            </w:r>
            <w:r>
              <w:rPr>
                <w:rFonts w:hint="eastAsia" w:ascii="宋体" w:hAnsi="宋体"/>
                <w:bCs/>
                <w:sz w:val="18"/>
                <w:szCs w:val="18"/>
                <w:lang w:val="fr-CH" w:eastAsia="zh-CN"/>
              </w:rPr>
              <w:t>芭堤雅有一条娱乐街【风月步行街】白天时与别的街道并无不同，入夜后则换了一副热闹的模样，街两边，铺位对望，一半是商店，一半是酒吧，街上霓虹灯闪烁夺目。</w:t>
            </w:r>
          </w:p>
          <w:p w14:paraId="6D8854F0">
            <w:pPr>
              <w:ind w:hanging="1"/>
              <w:rPr>
                <w:rFonts w:hint="eastAsia" w:ascii="宋体" w:hAnsi="宋体"/>
                <w:color w:val="FF0000"/>
                <w:kern w:val="0"/>
                <w:sz w:val="18"/>
                <w:szCs w:val="18"/>
              </w:rPr>
            </w:pPr>
            <w:r>
              <w:rPr>
                <w:rFonts w:hint="eastAsia" w:ascii="宋体" w:hAnsi="宋体"/>
                <w:color w:val="FF0000"/>
                <w:kern w:val="0"/>
                <w:sz w:val="18"/>
                <w:szCs w:val="18"/>
              </w:rPr>
              <w:t>温馨提示：</w:t>
            </w:r>
          </w:p>
          <w:p w14:paraId="60ABFA95">
            <w:pPr>
              <w:numPr>
                <w:ilvl w:val="0"/>
                <w:numId w:val="1"/>
              </w:numPr>
              <w:ind w:hanging="1"/>
              <w:rPr>
                <w:rFonts w:hint="eastAsia" w:ascii="宋体" w:hAnsi="宋体"/>
                <w:color w:val="FF0000"/>
                <w:kern w:val="0"/>
                <w:sz w:val="18"/>
                <w:szCs w:val="18"/>
              </w:rPr>
            </w:pPr>
            <w:r>
              <w:rPr>
                <w:rFonts w:hint="eastAsia" w:ascii="宋体" w:hAnsi="宋体"/>
                <w:color w:val="FF0000"/>
                <w:kern w:val="0"/>
                <w:sz w:val="18"/>
                <w:szCs w:val="18"/>
              </w:rPr>
              <w:t>如遇台风或者雨季影响，不适合出海时，将改为其他景点（泰国每逢5-10月为雨季）。</w:t>
            </w:r>
          </w:p>
          <w:p w14:paraId="04AB65EA">
            <w:pPr>
              <w:ind w:hanging="1"/>
              <w:rPr>
                <w:rFonts w:hint="eastAsia" w:ascii="宋体" w:hAnsi="宋体"/>
                <w:color w:val="FF0000"/>
                <w:kern w:val="0"/>
                <w:sz w:val="18"/>
                <w:szCs w:val="18"/>
              </w:rPr>
            </w:pPr>
            <w:r>
              <w:rPr>
                <w:rFonts w:hint="eastAsia" w:ascii="宋体" w:hAnsi="宋体"/>
                <w:color w:val="FF0000"/>
                <w:kern w:val="0"/>
                <w:sz w:val="18"/>
                <w:szCs w:val="18"/>
              </w:rPr>
              <w:t>2、因快艇颠簸，不适合幼儿、孕妇和</w:t>
            </w:r>
            <w:r>
              <w:rPr>
                <w:rFonts w:hint="eastAsia" w:ascii="宋体" w:hAnsi="宋体"/>
                <w:color w:val="FF0000"/>
                <w:kern w:val="0"/>
                <w:sz w:val="18"/>
                <w:szCs w:val="18"/>
                <w:lang w:val="en-US" w:eastAsia="zh-CN"/>
              </w:rPr>
              <w:t>65岁以上长者</w:t>
            </w:r>
            <w:r>
              <w:rPr>
                <w:rFonts w:hint="eastAsia" w:ascii="宋体" w:hAnsi="宋体"/>
                <w:color w:val="FF0000"/>
                <w:kern w:val="0"/>
                <w:sz w:val="18"/>
                <w:szCs w:val="18"/>
              </w:rPr>
              <w:t>以及腿脚不适人群等出海，我司将安排客人在</w:t>
            </w:r>
            <w:r>
              <w:rPr>
                <w:rFonts w:hint="eastAsia" w:ascii="宋体" w:hAnsi="宋体"/>
                <w:color w:val="FF0000"/>
                <w:kern w:val="0"/>
                <w:sz w:val="18"/>
                <w:szCs w:val="18"/>
                <w:lang w:val="en-US" w:eastAsia="zh-CN"/>
              </w:rPr>
              <w:t>海边</w:t>
            </w:r>
            <w:r>
              <w:rPr>
                <w:rFonts w:hint="eastAsia" w:ascii="宋体" w:hAnsi="宋体"/>
                <w:color w:val="FF0000"/>
                <w:kern w:val="0"/>
                <w:sz w:val="18"/>
                <w:szCs w:val="18"/>
              </w:rPr>
              <w:t>休息。</w:t>
            </w:r>
          </w:p>
          <w:p w14:paraId="2DE70F70">
            <w:pPr>
              <w:ind w:hanging="1"/>
              <w:rPr>
                <w:rFonts w:hint="eastAsia" w:ascii="宋体" w:hAnsi="宋体"/>
                <w:color w:val="FF0000"/>
                <w:kern w:val="0"/>
                <w:sz w:val="18"/>
                <w:szCs w:val="18"/>
              </w:rPr>
            </w:pPr>
            <w:r>
              <w:rPr>
                <w:rFonts w:hint="eastAsia" w:ascii="宋体" w:hAnsi="宋体"/>
                <w:color w:val="FF0000"/>
                <w:kern w:val="0"/>
                <w:sz w:val="18"/>
                <w:szCs w:val="18"/>
              </w:rPr>
              <w:t>3、金沙岛上有船家出售的各种海上项目如：空中降落伞邀游、水上电单车、快艇、香蕉船、深海潜水等，这些项目客人自愿参加，费用直接交予船家，具有一定危险性不在意外险理赔范围，请团友根据自己的身体状况进行适当选择。</w:t>
            </w:r>
          </w:p>
          <w:p w14:paraId="31B7D980">
            <w:pPr>
              <w:rPr>
                <w:rFonts w:hint="eastAsia" w:ascii="宋体" w:hAnsi="宋体"/>
                <w:bCs/>
                <w:sz w:val="18"/>
                <w:szCs w:val="18"/>
                <w:lang w:val="fr-CH"/>
              </w:rPr>
            </w:pPr>
          </w:p>
          <w:p w14:paraId="588FCC8F">
            <w:pPr>
              <w:rPr>
                <w:rFonts w:hint="default" w:ascii="宋体" w:hAnsi="宋体" w:eastAsia="宋体"/>
                <w:sz w:val="18"/>
                <w:szCs w:val="18"/>
                <w:lang w:val="en-US" w:eastAsia="zh-CN"/>
              </w:rPr>
            </w:pPr>
            <w:r>
              <w:rPr>
                <w:rFonts w:hint="eastAsia" w:ascii="宋体" w:hAnsi="宋体"/>
                <w:bCs/>
                <w:sz w:val="18"/>
                <w:szCs w:val="18"/>
                <w:lang w:val="fr-CH"/>
              </w:rPr>
              <w:t>早餐：</w:t>
            </w:r>
            <w:r>
              <w:rPr>
                <w:rFonts w:hint="eastAsia" w:ascii="宋体" w:hAnsi="宋体"/>
                <w:color w:val="000000"/>
                <w:kern w:val="0"/>
                <w:sz w:val="18"/>
                <w:szCs w:val="18"/>
                <w:lang w:val="fr-CH"/>
              </w:rPr>
              <w:t>酒店内</w:t>
            </w:r>
            <w:r>
              <w:rPr>
                <w:rFonts w:hint="eastAsia" w:ascii="宋体" w:hAnsi="宋体"/>
                <w:bCs/>
                <w:sz w:val="18"/>
                <w:szCs w:val="18"/>
                <w:lang w:val="fr-CH"/>
              </w:rPr>
              <w:t xml:space="preserve">  午餐：</w:t>
            </w:r>
            <w:r>
              <w:rPr>
                <w:rFonts w:hint="eastAsia" w:ascii="宋体" w:hAnsi="宋体"/>
                <w:bCs/>
                <w:sz w:val="18"/>
                <w:szCs w:val="18"/>
                <w:lang w:val="fr-CH" w:eastAsia="zh-CN"/>
              </w:rPr>
              <w:t>华泰酒家</w:t>
            </w:r>
            <w:r>
              <w:rPr>
                <w:rFonts w:hint="eastAsia" w:ascii="宋体" w:hAnsi="宋体"/>
                <w:bCs/>
                <w:sz w:val="18"/>
                <w:szCs w:val="18"/>
                <w:lang w:val="en-US" w:eastAsia="zh-CN"/>
              </w:rPr>
              <w:t xml:space="preserve">  </w:t>
            </w:r>
            <w:r>
              <w:rPr>
                <w:rFonts w:hint="eastAsia" w:ascii="宋体" w:hAnsi="宋体"/>
                <w:bCs/>
                <w:sz w:val="18"/>
                <w:szCs w:val="18"/>
                <w:lang w:val="fr-CH"/>
              </w:rPr>
              <w:t xml:space="preserve"> 晚</w:t>
            </w:r>
            <w:r>
              <w:rPr>
                <w:rFonts w:hint="eastAsia" w:ascii="宋体" w:hAnsi="宋体"/>
                <w:bCs/>
                <w:sz w:val="18"/>
                <w:szCs w:val="18"/>
                <w:highlight w:val="none"/>
                <w:lang w:val="fr-CH"/>
              </w:rPr>
              <w:t>餐：</w:t>
            </w:r>
            <w:r>
              <w:rPr>
                <w:rFonts w:hint="eastAsia" w:ascii="宋体" w:hAnsi="宋体"/>
                <w:bCs/>
                <w:sz w:val="18"/>
                <w:szCs w:val="18"/>
                <w:highlight w:val="none"/>
                <w:lang w:val="en-US" w:eastAsia="zh-CN"/>
              </w:rPr>
              <w:t>海鲜BBQ自助餐</w:t>
            </w:r>
          </w:p>
        </w:tc>
        <w:tc>
          <w:tcPr>
            <w:tcW w:w="1334" w:type="dxa"/>
            <w:tcBorders>
              <w:tl2br w:val="nil"/>
              <w:tr2bl w:val="nil"/>
            </w:tcBorders>
            <w:shd w:val="clear" w:color="auto" w:fill="FFFFFF"/>
            <w:noWrap w:val="0"/>
            <w:vAlign w:val="center"/>
          </w:tcPr>
          <w:p w14:paraId="01D6BC5D">
            <w:pPr>
              <w:jc w:val="center"/>
              <w:rPr>
                <w:rFonts w:hint="eastAsia" w:ascii="宋体" w:hAnsi="宋体" w:eastAsia="宋体"/>
                <w:b/>
                <w:sz w:val="18"/>
                <w:szCs w:val="18"/>
                <w:lang w:eastAsia="zh-CN"/>
              </w:rPr>
            </w:pPr>
            <w:r>
              <w:rPr>
                <w:rFonts w:hint="eastAsia" w:ascii="宋体" w:hAnsi="宋体"/>
                <w:b/>
                <w:bCs/>
                <w:color w:val="000000"/>
                <w:sz w:val="18"/>
                <w:szCs w:val="18"/>
                <w:lang w:val="en-US" w:eastAsia="zh-CN"/>
              </w:rPr>
              <w:t>芭堤雅当地五星（网评四钻）泳池酒店</w:t>
            </w:r>
            <w:r>
              <w:rPr>
                <w:rFonts w:hint="eastAsia" w:ascii="宋体" w:hAnsi="宋体"/>
                <w:bCs/>
                <w:sz w:val="18"/>
                <w:szCs w:val="18"/>
                <w:lang w:val="en-US" w:eastAsia="zh-CN"/>
              </w:rPr>
              <w:t xml:space="preserve"> </w:t>
            </w:r>
          </w:p>
        </w:tc>
      </w:tr>
      <w:tr w14:paraId="43DB0BF4">
        <w:tblPrEx>
          <w:tblBorders>
            <w:top w:val="single" w:color="7B7B7B" w:themeColor="accent3" w:themeShade="BF" w:sz="8" w:space="0"/>
            <w:left w:val="single" w:color="7B7B7B" w:themeColor="accent3" w:themeShade="BF" w:sz="8" w:space="0"/>
            <w:bottom w:val="single" w:color="7B7B7B" w:themeColor="accent3" w:themeShade="BF" w:sz="8" w:space="0"/>
            <w:right w:val="single" w:color="7B7B7B" w:themeColor="accent3" w:themeShade="BF" w:sz="8" w:space="0"/>
            <w:insideH w:val="single" w:color="7B7B7B" w:themeColor="accent3" w:themeShade="BF" w:sz="8" w:space="0"/>
            <w:insideV w:val="single" w:color="7B7B7B" w:themeColor="accent3" w:themeShade="BF" w:sz="8" w:space="0"/>
          </w:tblBorders>
          <w:shd w:val="clear" w:color="auto" w:fill="FFFFFF"/>
          <w:tblCellMar>
            <w:top w:w="0" w:type="dxa"/>
            <w:left w:w="108" w:type="dxa"/>
            <w:bottom w:w="0" w:type="dxa"/>
            <w:right w:w="108" w:type="dxa"/>
          </w:tblCellMar>
        </w:tblPrEx>
        <w:trPr>
          <w:gridAfter w:val="1"/>
          <w:wAfter w:w="322" w:type="dxa"/>
          <w:trHeight w:val="3094" w:hRule="atLeast"/>
          <w:jc w:val="center"/>
        </w:trPr>
        <w:tc>
          <w:tcPr>
            <w:tcW w:w="659" w:type="dxa"/>
            <w:tcBorders>
              <w:tl2br w:val="nil"/>
              <w:tr2bl w:val="nil"/>
            </w:tcBorders>
            <w:shd w:val="clear" w:color="auto" w:fill="FFFFFF"/>
            <w:noWrap w:val="0"/>
            <w:vAlign w:val="center"/>
          </w:tcPr>
          <w:p w14:paraId="1D9593D6">
            <w:pPr>
              <w:jc w:val="center"/>
              <w:rPr>
                <w:rFonts w:hint="eastAsia" w:ascii="宋体" w:hAnsi="宋体" w:eastAsia="宋体" w:cs="Arial"/>
                <w:b/>
                <w:bCs w:val="0"/>
                <w:color w:val="FF6600"/>
                <w:sz w:val="18"/>
                <w:szCs w:val="18"/>
                <w:u w:val="none"/>
                <w:lang w:val="en-US" w:eastAsia="zh-CN"/>
              </w:rPr>
            </w:pPr>
            <w:r>
              <w:rPr>
                <w:rFonts w:hint="eastAsia" w:ascii="宋体" w:hAnsi="宋体" w:cs="Arial"/>
                <w:b/>
                <w:bCs w:val="0"/>
                <w:color w:val="FF6600"/>
                <w:sz w:val="18"/>
                <w:szCs w:val="18"/>
                <w:u w:val="none"/>
              </w:rPr>
              <w:t>D</w:t>
            </w:r>
            <w:r>
              <w:rPr>
                <w:rFonts w:hint="eastAsia" w:ascii="宋体" w:hAnsi="宋体" w:cs="Arial"/>
                <w:b/>
                <w:bCs w:val="0"/>
                <w:color w:val="FF6600"/>
                <w:sz w:val="18"/>
                <w:szCs w:val="18"/>
                <w:u w:val="none"/>
                <w:lang w:val="en-US" w:eastAsia="zh-CN"/>
              </w:rPr>
              <w:t>5</w:t>
            </w:r>
          </w:p>
        </w:tc>
        <w:tc>
          <w:tcPr>
            <w:tcW w:w="7727" w:type="dxa"/>
            <w:tcBorders>
              <w:tl2br w:val="nil"/>
              <w:tr2bl w:val="nil"/>
            </w:tcBorders>
            <w:shd w:val="clear" w:color="auto" w:fill="FFFFFF"/>
            <w:noWrap w:val="0"/>
            <w:vAlign w:val="top"/>
          </w:tcPr>
          <w:p w14:paraId="442DDEF7">
            <w:pPr>
              <w:rPr>
                <w:rFonts w:hint="default" w:ascii="宋体" w:hAnsi="宋体"/>
                <w:b/>
                <w:bCs/>
                <w:color w:val="E36C0A"/>
                <w:szCs w:val="21"/>
                <w:lang w:val="en-US" w:eastAsia="zh-CN"/>
              </w:rPr>
            </w:pPr>
            <w:r>
              <w:rPr>
                <w:rFonts w:hint="eastAsia" w:ascii="宋体" w:hAnsi="宋体"/>
                <w:b/>
                <w:bCs/>
                <w:color w:val="E36C0A"/>
                <w:szCs w:val="21"/>
                <w:lang w:val="en-US" w:eastAsia="zh-CN"/>
              </w:rPr>
              <w:t>四面佛-乳胶制品展览中心-人蛇大战-KINGPOWER免税店-广州（参考航班：</w:t>
            </w:r>
            <w:r>
              <w:rPr>
                <w:rFonts w:hint="eastAsia" w:ascii="宋体" w:hAnsi="宋体"/>
                <w:b/>
                <w:bCs/>
                <w:color w:val="E36C0A"/>
                <w:szCs w:val="21"/>
              </w:rPr>
              <w:t xml:space="preserve">9C7420 </w:t>
            </w:r>
            <w:r>
              <w:rPr>
                <w:rFonts w:hint="eastAsia" w:ascii="宋体" w:hAnsi="宋体"/>
                <w:b/>
                <w:bCs/>
                <w:color w:val="E36C0A"/>
                <w:szCs w:val="21"/>
                <w:lang w:val="en-US" w:eastAsia="zh-CN"/>
              </w:rPr>
              <w:t>2140-0150+1）</w:t>
            </w:r>
          </w:p>
          <w:p w14:paraId="2D6FF752">
            <w:pPr>
              <w:rPr>
                <w:rFonts w:hint="eastAsia" w:ascii="宋体" w:hAnsi="宋体"/>
                <w:bCs/>
                <w:sz w:val="18"/>
                <w:szCs w:val="18"/>
                <w:lang w:val="fr-CH"/>
              </w:rPr>
            </w:pPr>
            <w:r>
              <w:rPr>
                <w:rFonts w:hint="eastAsia" w:ascii="宋体" w:hAnsi="宋体"/>
                <w:bCs/>
                <w:sz w:val="18"/>
                <w:szCs w:val="18"/>
                <w:lang w:val="fr-CH"/>
              </w:rPr>
              <w:t>早餐后，开始愉快行程。</w:t>
            </w:r>
          </w:p>
          <w:p w14:paraId="106E8599">
            <w:pPr>
              <w:pStyle w:val="10"/>
              <w:ind w:left="0" w:leftChars="0" w:firstLine="0" w:firstLineChars="0"/>
              <w:rPr>
                <w:rFonts w:hint="eastAsia" w:ascii="宋体" w:hAnsi="宋体"/>
                <w:bCs/>
                <w:sz w:val="18"/>
                <w:szCs w:val="18"/>
                <w:lang w:val="fr-CH"/>
              </w:rPr>
            </w:pPr>
            <w:r>
              <w:rPr>
                <w:rFonts w:hint="eastAsia" w:ascii="宋体" w:hAnsi="宋体" w:eastAsia="宋体" w:cs="Times New Roman"/>
                <w:bCs/>
                <w:kern w:val="2"/>
                <w:sz w:val="18"/>
                <w:szCs w:val="18"/>
                <w:lang w:val="fr-CH" w:eastAsia="zh-CN" w:bidi="ar-SA"/>
              </w:rPr>
              <w:t>●</w:t>
            </w:r>
            <w:r>
              <w:rPr>
                <w:rFonts w:hint="eastAsia" w:ascii="宋体" w:hAnsi="宋体" w:cs="Times New Roman"/>
                <w:bCs/>
                <w:kern w:val="2"/>
                <w:sz w:val="18"/>
                <w:szCs w:val="18"/>
                <w:lang w:val="fr-CH" w:eastAsia="zh-CN" w:bidi="ar-SA"/>
              </w:rPr>
              <w:t>【</w:t>
            </w:r>
            <w:r>
              <w:rPr>
                <w:rFonts w:hint="eastAsia" w:ascii="宋体" w:hAnsi="宋体"/>
                <w:bCs/>
                <w:sz w:val="18"/>
                <w:szCs w:val="18"/>
                <w:lang w:val="fr-CH"/>
              </w:rPr>
              <w:t>四面佛</w:t>
            </w:r>
            <w:r>
              <w:rPr>
                <w:rFonts w:hint="eastAsia" w:ascii="宋体" w:hAnsi="宋体"/>
                <w:bCs/>
                <w:sz w:val="18"/>
                <w:szCs w:val="18"/>
                <w:lang w:val="fr-CH" w:eastAsia="zh-CN"/>
              </w:rPr>
              <w:t>】</w:t>
            </w:r>
            <w:r>
              <w:rPr>
                <w:rFonts w:hint="eastAsia" w:ascii="宋体" w:hAnsi="宋体"/>
                <w:bCs/>
                <w:sz w:val="18"/>
                <w:szCs w:val="18"/>
                <w:lang w:val="fr-CH"/>
              </w:rPr>
              <w:t>是印度婆罗门教神祇，原是婆罗门教三大主神之一的梵天，是创造天地之神。在东南亚、泰国被认为是法力无边，掌握人间荣华富贵之神；</w:t>
            </w:r>
          </w:p>
          <w:p w14:paraId="23C065FC">
            <w:pPr>
              <w:rPr>
                <w:rFonts w:ascii="等线" w:hAnsi="等线" w:cs="等线"/>
                <w:szCs w:val="21"/>
              </w:rPr>
            </w:pPr>
            <w:r>
              <w:rPr>
                <w:rFonts w:hint="eastAsia" w:ascii="宋体" w:hAnsi="宋体"/>
                <w:bCs/>
                <w:sz w:val="18"/>
                <w:szCs w:val="18"/>
                <w:lang w:val="fr-CH"/>
              </w:rPr>
              <w:t>●</w:t>
            </w:r>
            <w:r>
              <w:rPr>
                <w:rFonts w:hint="eastAsia" w:ascii="宋体" w:hAnsi="宋体"/>
                <w:bCs/>
                <w:sz w:val="18"/>
                <w:szCs w:val="18"/>
              </w:rPr>
              <w:t>【</w:t>
            </w:r>
            <w:r>
              <w:rPr>
                <w:rFonts w:hint="eastAsia" w:ascii="宋体" w:hAnsi="宋体"/>
                <w:bCs/>
                <w:sz w:val="18"/>
                <w:szCs w:val="18"/>
                <w:lang w:val="en-US" w:eastAsia="zh-CN"/>
              </w:rPr>
              <w:t>乳胶制品展览中心</w:t>
            </w:r>
            <w:r>
              <w:rPr>
                <w:rFonts w:hint="eastAsia" w:ascii="宋体" w:hAnsi="宋体"/>
                <w:bCs/>
                <w:sz w:val="18"/>
                <w:szCs w:val="18"/>
              </w:rPr>
              <w:t>】（游览时间约60分钟）专属泰国盛产地，物美价廉，可随意挑选；</w:t>
            </w:r>
          </w:p>
          <w:p w14:paraId="6695DC16">
            <w:pPr>
              <w:rPr>
                <w:rFonts w:hint="eastAsia"/>
                <w:lang w:val="fr-CH"/>
              </w:rPr>
            </w:pPr>
            <w:r>
              <w:rPr>
                <w:rFonts w:hint="eastAsia" w:ascii="宋体" w:hAnsi="宋体"/>
                <w:bCs/>
                <w:sz w:val="18"/>
                <w:szCs w:val="18"/>
                <w:lang w:val="fr-CH"/>
              </w:rPr>
              <w:t>●</w:t>
            </w:r>
            <w:r>
              <w:rPr>
                <w:rFonts w:hint="eastAsia" w:ascii="宋体" w:hAnsi="宋体"/>
                <w:bCs/>
                <w:sz w:val="18"/>
                <w:szCs w:val="18"/>
                <w:lang w:val="fr-CH" w:eastAsia="zh-CN"/>
              </w:rPr>
              <w:t>前往泰国毒蛇研究中心，欣赏【人蛇大战】，精彩，刺激。</w:t>
            </w:r>
          </w:p>
          <w:p w14:paraId="1750D55A">
            <w:pPr>
              <w:rPr>
                <w:rFonts w:hint="eastAsia" w:ascii="宋体" w:hAnsi="宋体"/>
                <w:bCs/>
                <w:sz w:val="18"/>
                <w:szCs w:val="18"/>
              </w:rPr>
            </w:pPr>
            <w:r>
              <w:rPr>
                <w:rFonts w:hint="eastAsia" w:ascii="宋体" w:hAnsi="宋体"/>
                <w:bCs/>
                <w:sz w:val="18"/>
                <w:szCs w:val="18"/>
                <w:lang w:val="fr-CH"/>
              </w:rPr>
              <w:t>●</w:t>
            </w:r>
            <w:r>
              <w:rPr>
                <w:rFonts w:hint="eastAsia" w:ascii="宋体" w:hAnsi="宋体"/>
                <w:bCs/>
                <w:sz w:val="18"/>
                <w:szCs w:val="18"/>
              </w:rPr>
              <w:t>【</w:t>
            </w:r>
            <w:r>
              <w:rPr>
                <w:rFonts w:hint="eastAsia" w:ascii="宋体" w:hAnsi="宋体"/>
                <w:bCs/>
                <w:sz w:val="18"/>
                <w:szCs w:val="18"/>
                <w:lang w:val="en-US" w:eastAsia="zh-CN"/>
              </w:rPr>
              <w:t>Kingpower</w:t>
            </w:r>
            <w:r>
              <w:rPr>
                <w:rFonts w:hint="eastAsia" w:ascii="宋体" w:hAnsi="宋体"/>
                <w:bCs/>
                <w:sz w:val="18"/>
                <w:szCs w:val="18"/>
              </w:rPr>
              <w:t>免税店】（游览时间约60分钟）泰国王权免税店隶属于泰国皇权国际集团旗下，汇聚众多世界时尚热销品牌，购物空间优雅舒适，曼谷有曼谷市中心店、曼谷素万那普国际机场店，各位贵宾可以随意参观，也可以给亲人朋友带些手信及国际品牌的化妆品、手表等；</w:t>
            </w:r>
          </w:p>
          <w:p w14:paraId="076734F5">
            <w:pPr>
              <w:pStyle w:val="10"/>
              <w:ind w:left="0" w:leftChars="0" w:firstLine="0" w:firstLineChars="0"/>
              <w:rPr>
                <w:rFonts w:hint="default" w:ascii="宋体" w:hAnsi="宋体" w:eastAsia="宋体"/>
                <w:bCs/>
                <w:sz w:val="18"/>
                <w:szCs w:val="18"/>
                <w:lang w:val="en-US" w:eastAsia="zh-CN"/>
              </w:rPr>
            </w:pPr>
            <w:r>
              <w:rPr>
                <w:rFonts w:hint="eastAsia" w:ascii="宋体" w:hAnsi="宋体"/>
                <w:bCs/>
                <w:sz w:val="18"/>
                <w:szCs w:val="18"/>
                <w:lang w:val="fr-CH"/>
              </w:rPr>
              <w:t>乘车前往曼谷国际机场</w:t>
            </w:r>
            <w:r>
              <w:rPr>
                <w:rFonts w:hint="eastAsia" w:ascii="宋体" w:hAnsi="宋体"/>
                <w:bCs/>
                <w:sz w:val="18"/>
                <w:szCs w:val="18"/>
                <w:lang w:val="fr-CH" w:eastAsia="zh-CN"/>
              </w:rPr>
              <w:t>，</w:t>
            </w:r>
            <w:r>
              <w:rPr>
                <w:rFonts w:hint="eastAsia" w:ascii="宋体" w:hAnsi="宋体"/>
                <w:bCs/>
                <w:sz w:val="18"/>
                <w:szCs w:val="18"/>
                <w:lang w:val="fr-CH"/>
              </w:rPr>
              <w:t>在领队带领下搭乘春秋航空公司国际航班飞往</w:t>
            </w:r>
            <w:r>
              <w:rPr>
                <w:rFonts w:hint="eastAsia" w:ascii="宋体" w:hAnsi="宋体"/>
                <w:bCs/>
                <w:sz w:val="18"/>
                <w:szCs w:val="18"/>
                <w:lang w:val="en-US" w:eastAsia="zh-CN"/>
              </w:rPr>
              <w:t>广州白云机场。</w:t>
            </w:r>
          </w:p>
          <w:p w14:paraId="196BA195">
            <w:pPr>
              <w:pStyle w:val="10"/>
              <w:ind w:left="0" w:leftChars="0" w:firstLine="0" w:firstLineChars="0"/>
            </w:pPr>
          </w:p>
          <w:p w14:paraId="7D45A6CC">
            <w:pPr>
              <w:rPr>
                <w:rFonts w:hint="default" w:ascii="宋体" w:hAnsi="宋体" w:cs="Arial"/>
                <w:b/>
                <w:color w:val="FF6600"/>
                <w:szCs w:val="21"/>
                <w:lang w:val="en-US"/>
              </w:rPr>
            </w:pPr>
            <w:r>
              <w:rPr>
                <w:rFonts w:hint="default" w:ascii="宋体" w:hAnsi="宋体" w:eastAsia="宋体"/>
                <w:sz w:val="18"/>
                <w:szCs w:val="18"/>
                <w:lang w:val="en-US" w:eastAsia="zh-CN"/>
              </w:rPr>
              <w:t>早餐：酒店</w:t>
            </w:r>
            <w:r>
              <w:rPr>
                <w:rFonts w:hint="eastAsia" w:ascii="宋体" w:hAnsi="宋体"/>
                <w:sz w:val="18"/>
                <w:szCs w:val="18"/>
                <w:lang w:val="en-US" w:eastAsia="zh-CN"/>
              </w:rPr>
              <w:t>内</w:t>
            </w:r>
            <w:r>
              <w:rPr>
                <w:rFonts w:hint="default" w:ascii="宋体" w:hAnsi="宋体" w:eastAsia="宋体"/>
                <w:sz w:val="18"/>
                <w:szCs w:val="18"/>
                <w:lang w:val="en-US" w:eastAsia="zh-CN"/>
              </w:rPr>
              <w:t>；   午餐：帝王手抓饭  晚</w:t>
            </w:r>
            <w:r>
              <w:rPr>
                <w:rFonts w:hint="eastAsia" w:ascii="宋体" w:hAnsi="宋体"/>
                <w:sz w:val="18"/>
                <w:szCs w:val="18"/>
                <w:lang w:val="en-US" w:eastAsia="zh-CN"/>
              </w:rPr>
              <w:t>餐</w:t>
            </w:r>
            <w:r>
              <w:rPr>
                <w:rFonts w:hint="default" w:ascii="宋体" w:hAnsi="宋体" w:eastAsia="宋体"/>
                <w:sz w:val="18"/>
                <w:szCs w:val="18"/>
                <w:lang w:val="en-US" w:eastAsia="zh-CN"/>
              </w:rPr>
              <w:t>：丝路宫廷</w:t>
            </w:r>
            <w:r>
              <w:rPr>
                <w:rFonts w:hint="eastAsia" w:ascii="宋体" w:hAnsi="宋体"/>
                <w:sz w:val="18"/>
                <w:szCs w:val="18"/>
                <w:lang w:val="en-US" w:eastAsia="zh-CN"/>
              </w:rPr>
              <w:t>宴</w:t>
            </w:r>
          </w:p>
        </w:tc>
        <w:tc>
          <w:tcPr>
            <w:tcW w:w="1334" w:type="dxa"/>
            <w:tcBorders>
              <w:tl2br w:val="nil"/>
              <w:tr2bl w:val="nil"/>
            </w:tcBorders>
            <w:shd w:val="clear" w:color="auto" w:fill="FFFFFF"/>
            <w:noWrap w:val="0"/>
            <w:vAlign w:val="center"/>
          </w:tcPr>
          <w:p w14:paraId="10054246">
            <w:pPr>
              <w:jc w:val="center"/>
              <w:rPr>
                <w:rFonts w:hint="eastAsia" w:ascii="宋体" w:hAnsi="宋体" w:eastAsia="宋体"/>
                <w:sz w:val="18"/>
                <w:szCs w:val="18"/>
                <w:lang w:eastAsia="zh-CN"/>
              </w:rPr>
            </w:pPr>
            <w:r>
              <w:rPr>
                <w:rFonts w:hint="eastAsia" w:ascii="宋体" w:hAnsi="宋体"/>
                <w:b/>
                <w:bCs/>
                <w:sz w:val="18"/>
                <w:szCs w:val="18"/>
                <w:lang w:val="en-US" w:eastAsia="zh-CN"/>
              </w:rPr>
              <w:t>飞机上</w:t>
            </w:r>
          </w:p>
        </w:tc>
      </w:tr>
      <w:tr w14:paraId="4055EF1D">
        <w:tblPrEx>
          <w:tblBorders>
            <w:top w:val="single" w:color="7B7B7B" w:themeColor="accent3" w:themeShade="BF" w:sz="8" w:space="0"/>
            <w:left w:val="single" w:color="7B7B7B" w:themeColor="accent3" w:themeShade="BF" w:sz="8" w:space="0"/>
            <w:bottom w:val="single" w:color="7B7B7B" w:themeColor="accent3" w:themeShade="BF" w:sz="8" w:space="0"/>
            <w:right w:val="single" w:color="7B7B7B" w:themeColor="accent3" w:themeShade="BF" w:sz="8" w:space="0"/>
            <w:insideH w:val="single" w:color="7B7B7B" w:themeColor="accent3" w:themeShade="BF" w:sz="8" w:space="0"/>
            <w:insideV w:val="single" w:color="7B7B7B" w:themeColor="accent3" w:themeShade="BF" w:sz="8" w:space="0"/>
          </w:tblBorders>
          <w:shd w:val="clear" w:color="auto" w:fill="FFFFFF"/>
          <w:tblCellMar>
            <w:top w:w="0" w:type="dxa"/>
            <w:left w:w="108" w:type="dxa"/>
            <w:bottom w:w="0" w:type="dxa"/>
            <w:right w:w="108" w:type="dxa"/>
          </w:tblCellMar>
        </w:tblPrEx>
        <w:trPr>
          <w:gridAfter w:val="1"/>
          <w:wAfter w:w="322" w:type="dxa"/>
          <w:trHeight w:val="1029" w:hRule="atLeast"/>
          <w:jc w:val="center"/>
        </w:trPr>
        <w:tc>
          <w:tcPr>
            <w:tcW w:w="659" w:type="dxa"/>
            <w:tcBorders>
              <w:tl2br w:val="nil"/>
              <w:tr2bl w:val="nil"/>
            </w:tcBorders>
            <w:shd w:val="clear" w:color="auto" w:fill="FFFFFF"/>
            <w:noWrap w:val="0"/>
            <w:vAlign w:val="center"/>
          </w:tcPr>
          <w:p w14:paraId="64EA30E8">
            <w:pPr>
              <w:jc w:val="center"/>
              <w:rPr>
                <w:rFonts w:hint="default" w:ascii="宋体" w:hAnsi="宋体" w:eastAsia="宋体" w:cs="Arial"/>
                <w:b/>
                <w:bCs w:val="0"/>
                <w:color w:val="FF6600"/>
                <w:sz w:val="18"/>
                <w:szCs w:val="18"/>
                <w:u w:val="none"/>
                <w:lang w:val="en-US" w:eastAsia="zh-CN"/>
              </w:rPr>
            </w:pPr>
            <w:r>
              <w:rPr>
                <w:rFonts w:hint="eastAsia" w:ascii="宋体" w:hAnsi="宋体" w:cs="Arial"/>
                <w:b/>
                <w:bCs w:val="0"/>
                <w:color w:val="FF6600"/>
                <w:sz w:val="18"/>
                <w:szCs w:val="18"/>
                <w:u w:val="none"/>
                <w:lang w:val="en-US" w:eastAsia="zh-CN"/>
              </w:rPr>
              <w:t>D6</w:t>
            </w:r>
          </w:p>
        </w:tc>
        <w:tc>
          <w:tcPr>
            <w:tcW w:w="7727" w:type="dxa"/>
            <w:tcBorders>
              <w:tl2br w:val="nil"/>
              <w:tr2bl w:val="nil"/>
            </w:tcBorders>
            <w:shd w:val="clear" w:color="auto" w:fill="FFFFFF"/>
            <w:noWrap w:val="0"/>
            <w:vAlign w:val="top"/>
          </w:tcPr>
          <w:p w14:paraId="196BD1AA">
            <w:pPr>
              <w:rPr>
                <w:rFonts w:hint="default" w:ascii="宋体" w:hAnsi="宋体"/>
                <w:b/>
                <w:bCs/>
                <w:color w:val="E36C0A"/>
                <w:szCs w:val="21"/>
                <w:lang w:val="en-US" w:eastAsia="zh-CN"/>
              </w:rPr>
            </w:pPr>
            <w:r>
              <w:rPr>
                <w:rFonts w:hint="eastAsia" w:ascii="宋体" w:hAnsi="宋体"/>
                <w:b/>
                <w:bCs/>
                <w:color w:val="E36C0A"/>
                <w:szCs w:val="21"/>
                <w:lang w:val="en-US" w:eastAsia="zh-CN"/>
              </w:rPr>
              <w:t>飞机上-广州</w:t>
            </w:r>
          </w:p>
          <w:p w14:paraId="4A336EBD">
            <w:pPr>
              <w:pStyle w:val="10"/>
              <w:ind w:left="0" w:leftChars="0" w:firstLine="0" w:firstLineChars="0"/>
              <w:rPr>
                <w:rFonts w:hint="eastAsia" w:ascii="宋体" w:hAnsi="宋体"/>
                <w:bCs/>
                <w:sz w:val="18"/>
                <w:szCs w:val="18"/>
                <w:lang w:val="fr-CH"/>
              </w:rPr>
            </w:pPr>
            <w:r>
              <w:rPr>
                <w:rFonts w:hint="eastAsia" w:ascii="宋体" w:hAnsi="宋体"/>
                <w:bCs/>
                <w:sz w:val="18"/>
                <w:szCs w:val="18"/>
                <w:lang w:val="en-US" w:eastAsia="zh-CN"/>
              </w:rPr>
              <w:t>抵达后广州结束愉快的行程！</w:t>
            </w:r>
            <w:r>
              <w:rPr>
                <w:rFonts w:hint="eastAsia" w:ascii="宋体" w:hAnsi="宋体"/>
                <w:bCs/>
                <w:sz w:val="18"/>
                <w:szCs w:val="18"/>
                <w:lang w:val="fr-CH"/>
              </w:rPr>
              <w:t xml:space="preserve"> </w:t>
            </w:r>
          </w:p>
          <w:p w14:paraId="5FB2D3B8">
            <w:pPr>
              <w:pStyle w:val="10"/>
              <w:ind w:left="0" w:leftChars="0" w:firstLine="0" w:firstLineChars="0"/>
            </w:pPr>
          </w:p>
          <w:p w14:paraId="02D4624E">
            <w:pPr>
              <w:rPr>
                <w:rFonts w:hint="default" w:ascii="宋体" w:hAnsi="宋体" w:eastAsia="宋体"/>
                <w:sz w:val="18"/>
                <w:szCs w:val="18"/>
                <w:lang w:val="en-US" w:eastAsia="zh-CN"/>
              </w:rPr>
            </w:pPr>
            <w:r>
              <w:rPr>
                <w:rFonts w:hint="default" w:ascii="宋体" w:hAnsi="宋体" w:eastAsia="宋体"/>
                <w:sz w:val="18"/>
                <w:szCs w:val="18"/>
                <w:lang w:val="en-US" w:eastAsia="zh-CN"/>
              </w:rPr>
              <w:t>早餐：</w:t>
            </w:r>
            <w:r>
              <w:rPr>
                <w:rFonts w:hint="eastAsia" w:ascii="宋体" w:hAnsi="宋体"/>
                <w:sz w:val="18"/>
                <w:szCs w:val="18"/>
                <w:lang w:val="en-US" w:eastAsia="zh-CN"/>
              </w:rPr>
              <w:t>自理</w:t>
            </w:r>
            <w:r>
              <w:rPr>
                <w:rFonts w:hint="default" w:ascii="宋体" w:hAnsi="宋体" w:eastAsia="宋体"/>
                <w:sz w:val="18"/>
                <w:szCs w:val="18"/>
                <w:lang w:val="en-US" w:eastAsia="zh-CN"/>
              </w:rPr>
              <w:t xml:space="preserve">   午餐：</w:t>
            </w:r>
            <w:r>
              <w:rPr>
                <w:rFonts w:hint="eastAsia" w:ascii="宋体" w:hAnsi="宋体"/>
                <w:sz w:val="18"/>
                <w:szCs w:val="18"/>
                <w:lang w:val="en-US" w:eastAsia="zh-CN"/>
              </w:rPr>
              <w:t>自理</w:t>
            </w:r>
            <w:r>
              <w:rPr>
                <w:rFonts w:hint="default" w:ascii="宋体" w:hAnsi="宋体" w:eastAsia="宋体"/>
                <w:sz w:val="18"/>
                <w:szCs w:val="18"/>
                <w:lang w:val="en-US" w:eastAsia="zh-CN"/>
              </w:rPr>
              <w:t xml:space="preserve">  晚</w:t>
            </w:r>
            <w:r>
              <w:rPr>
                <w:rFonts w:hint="eastAsia" w:ascii="宋体" w:hAnsi="宋体"/>
                <w:sz w:val="18"/>
                <w:szCs w:val="18"/>
                <w:lang w:val="en-US" w:eastAsia="zh-CN"/>
              </w:rPr>
              <w:t>餐</w:t>
            </w:r>
            <w:r>
              <w:rPr>
                <w:rFonts w:hint="default" w:ascii="宋体" w:hAnsi="宋体" w:eastAsia="宋体"/>
                <w:sz w:val="18"/>
                <w:szCs w:val="18"/>
                <w:lang w:val="en-US" w:eastAsia="zh-CN"/>
              </w:rPr>
              <w:t>：</w:t>
            </w:r>
            <w:r>
              <w:rPr>
                <w:rFonts w:hint="eastAsia" w:ascii="宋体" w:hAnsi="宋体"/>
                <w:sz w:val="18"/>
                <w:szCs w:val="18"/>
                <w:lang w:val="en-US" w:eastAsia="zh-CN"/>
              </w:rPr>
              <w:t>自理</w:t>
            </w:r>
          </w:p>
        </w:tc>
        <w:tc>
          <w:tcPr>
            <w:tcW w:w="1334" w:type="dxa"/>
            <w:tcBorders>
              <w:tl2br w:val="nil"/>
              <w:tr2bl w:val="nil"/>
            </w:tcBorders>
            <w:shd w:val="clear" w:color="auto" w:fill="FFFFFF"/>
            <w:noWrap w:val="0"/>
            <w:vAlign w:val="center"/>
          </w:tcPr>
          <w:p w14:paraId="1551A72C">
            <w:pPr>
              <w:jc w:val="center"/>
              <w:rPr>
                <w:rFonts w:hint="eastAsia" w:ascii="宋体" w:hAnsi="宋体"/>
                <w:b/>
                <w:bCs/>
                <w:sz w:val="18"/>
                <w:szCs w:val="18"/>
              </w:rPr>
            </w:pPr>
            <w:r>
              <w:rPr>
                <w:rFonts w:hint="eastAsia" w:ascii="宋体" w:hAnsi="宋体"/>
                <w:b/>
                <w:bCs/>
                <w:sz w:val="18"/>
                <w:szCs w:val="18"/>
              </w:rPr>
              <w:t>温馨的家</w:t>
            </w:r>
          </w:p>
        </w:tc>
      </w:tr>
      <w:tr w14:paraId="5244AFD5">
        <w:tblPrEx>
          <w:tblBorders>
            <w:top w:val="single" w:color="7B7B7B" w:themeColor="accent3" w:themeShade="BF" w:sz="8" w:space="0"/>
            <w:left w:val="single" w:color="7B7B7B" w:themeColor="accent3" w:themeShade="BF" w:sz="8" w:space="0"/>
            <w:bottom w:val="single" w:color="7B7B7B" w:themeColor="accent3" w:themeShade="BF" w:sz="8" w:space="0"/>
            <w:right w:val="single" w:color="7B7B7B" w:themeColor="accent3" w:themeShade="BF" w:sz="8" w:space="0"/>
            <w:insideH w:val="single" w:color="7B7B7B" w:themeColor="accent3" w:themeShade="BF" w:sz="8" w:space="0"/>
            <w:insideV w:val="single" w:color="7B7B7B" w:themeColor="accent3" w:themeShade="BF" w:sz="8" w:space="0"/>
          </w:tblBorders>
          <w:shd w:val="clear" w:color="auto" w:fill="FFFFFF"/>
          <w:tblCellMar>
            <w:top w:w="0" w:type="dxa"/>
            <w:left w:w="108" w:type="dxa"/>
            <w:bottom w:w="0" w:type="dxa"/>
            <w:right w:w="108" w:type="dxa"/>
          </w:tblCellMar>
        </w:tblPrEx>
        <w:trPr>
          <w:gridAfter w:val="1"/>
          <w:wAfter w:w="322" w:type="dxa"/>
          <w:trHeight w:val="1430" w:hRule="atLeast"/>
          <w:jc w:val="center"/>
        </w:trPr>
        <w:tc>
          <w:tcPr>
            <w:tcW w:w="9720" w:type="dxa"/>
            <w:gridSpan w:val="3"/>
            <w:tcBorders>
              <w:tl2br w:val="nil"/>
              <w:tr2bl w:val="nil"/>
            </w:tcBorders>
            <w:shd w:val="clear" w:color="auto" w:fill="FFFFFF"/>
            <w:noWrap w:val="0"/>
            <w:vAlign w:val="top"/>
          </w:tcPr>
          <w:p w14:paraId="2CC28600">
            <w:pPr>
              <w:widowControl/>
              <w:spacing w:line="360" w:lineRule="exact"/>
              <w:jc w:val="center"/>
              <w:rPr>
                <w:rFonts w:hint="eastAsia" w:hAnsi="宋体" w:cs="宋体"/>
                <w:b/>
                <w:color w:val="800080"/>
                <w:szCs w:val="21"/>
                <w:lang w:val="fr-CH"/>
              </w:rPr>
            </w:pPr>
            <w:r>
              <w:rPr>
                <w:rFonts w:hint="eastAsia" w:hAnsi="宋体" w:cs="宋体"/>
                <w:b/>
                <w:color w:val="800080"/>
                <w:szCs w:val="21"/>
                <w:lang w:val="fr-CH"/>
              </w:rPr>
              <w:t>*******</w:t>
            </w:r>
            <w:r>
              <w:rPr>
                <w:rFonts w:hint="eastAsia" w:hAnsi="宋体" w:cs="宋体"/>
                <w:b/>
                <w:color w:val="800080"/>
                <w:szCs w:val="21"/>
              </w:rPr>
              <w:t>此行程、酒店安排仅作为参考</w:t>
            </w:r>
            <w:r>
              <w:rPr>
                <w:rFonts w:hint="eastAsia" w:hAnsi="宋体" w:cs="宋体"/>
                <w:b/>
                <w:color w:val="800080"/>
                <w:szCs w:val="21"/>
                <w:lang w:val="fr-CH"/>
              </w:rPr>
              <w:t>，</w:t>
            </w:r>
            <w:r>
              <w:rPr>
                <w:rFonts w:hint="eastAsia" w:hAnsi="宋体" w:cs="宋体"/>
                <w:b/>
                <w:color w:val="800080"/>
                <w:szCs w:val="21"/>
              </w:rPr>
              <w:t>具体航班和详细安排请以出团最终确定行程为准</w:t>
            </w:r>
            <w:r>
              <w:rPr>
                <w:rFonts w:hint="eastAsia" w:hAnsi="宋体" w:cs="宋体"/>
                <w:b/>
                <w:color w:val="800080"/>
                <w:szCs w:val="21"/>
                <w:lang w:val="fr-CH"/>
              </w:rPr>
              <w:t>！！********</w:t>
            </w:r>
          </w:p>
          <w:p w14:paraId="65112CA5">
            <w:pPr>
              <w:spacing w:line="320" w:lineRule="exact"/>
              <w:rPr>
                <w:rFonts w:hint="eastAsia" w:hAnsi="宋体" w:cs="宋体"/>
                <w:b/>
                <w:color w:val="800080"/>
                <w:szCs w:val="21"/>
              </w:rPr>
            </w:pPr>
            <w:r>
              <w:rPr>
                <w:rFonts w:hint="eastAsia" w:hAnsi="宋体" w:cs="宋体"/>
                <w:color w:val="000000"/>
                <w:szCs w:val="21"/>
              </w:rPr>
              <w:t>本行程仅作界定旅游线路、游览内容之用</w:t>
            </w:r>
            <w:r>
              <w:rPr>
                <w:rFonts w:hint="eastAsia" w:hAnsi="宋体" w:cs="宋体"/>
                <w:color w:val="000000"/>
                <w:szCs w:val="21"/>
                <w:lang w:val="fr-CH"/>
              </w:rPr>
              <w:t>，</w:t>
            </w:r>
            <w:r>
              <w:rPr>
                <w:rFonts w:hint="eastAsia" w:hAnsi="宋体" w:cs="宋体"/>
                <w:color w:val="000000"/>
                <w:szCs w:val="21"/>
              </w:rPr>
              <w:t>具体安排</w:t>
            </w:r>
            <w:r>
              <w:rPr>
                <w:rFonts w:hint="eastAsia" w:hAnsi="宋体" w:cs="宋体"/>
                <w:color w:val="000000"/>
                <w:szCs w:val="21"/>
                <w:lang w:val="fr-CH"/>
              </w:rPr>
              <w:t>（</w:t>
            </w:r>
            <w:r>
              <w:rPr>
                <w:rFonts w:hint="eastAsia" w:hAnsi="宋体" w:cs="宋体"/>
                <w:color w:val="000000"/>
                <w:szCs w:val="21"/>
              </w:rPr>
              <w:t>包括航班调整</w:t>
            </w:r>
            <w:r>
              <w:rPr>
                <w:rFonts w:hint="eastAsia" w:hAnsi="宋体" w:cs="宋体"/>
                <w:color w:val="000000"/>
                <w:szCs w:val="21"/>
                <w:lang w:val="fr-CH"/>
              </w:rPr>
              <w:t>）</w:t>
            </w:r>
            <w:r>
              <w:rPr>
                <w:rFonts w:hint="eastAsia" w:hAnsi="宋体" w:cs="宋体"/>
                <w:color w:val="000000"/>
                <w:szCs w:val="21"/>
              </w:rPr>
              <w:t>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w:t>
            </w:r>
          </w:p>
        </w:tc>
      </w:tr>
      <w:tr w14:paraId="41EAF8D6">
        <w:tblPrEx>
          <w:tblBorders>
            <w:top w:val="single" w:color="7B7B7B" w:themeColor="accent3" w:themeShade="BF" w:sz="8" w:space="0"/>
            <w:left w:val="single" w:color="7B7B7B" w:themeColor="accent3" w:themeShade="BF" w:sz="8" w:space="0"/>
            <w:bottom w:val="single" w:color="7B7B7B" w:themeColor="accent3" w:themeShade="BF" w:sz="8" w:space="0"/>
            <w:right w:val="single" w:color="7B7B7B" w:themeColor="accent3" w:themeShade="BF" w:sz="8" w:space="0"/>
            <w:insideH w:val="single" w:color="7B7B7B" w:themeColor="accent3" w:themeShade="BF" w:sz="8" w:space="0"/>
            <w:insideV w:val="single" w:color="7B7B7B" w:themeColor="accent3" w:themeShade="BF" w:sz="8" w:space="0"/>
          </w:tblBorders>
          <w:shd w:val="clear" w:color="auto" w:fill="FFFFFF"/>
          <w:tblCellMar>
            <w:top w:w="0" w:type="dxa"/>
            <w:left w:w="108" w:type="dxa"/>
            <w:bottom w:w="0" w:type="dxa"/>
            <w:right w:w="108" w:type="dxa"/>
          </w:tblCellMar>
        </w:tblPrEx>
        <w:trPr>
          <w:gridAfter w:val="1"/>
          <w:wAfter w:w="322" w:type="dxa"/>
          <w:trHeight w:val="309" w:hRule="atLeast"/>
          <w:jc w:val="center"/>
        </w:trPr>
        <w:tc>
          <w:tcPr>
            <w:tcW w:w="9720" w:type="dxa"/>
            <w:gridSpan w:val="3"/>
            <w:tcBorders>
              <w:tl2br w:val="nil"/>
              <w:tr2bl w:val="nil"/>
            </w:tcBorders>
            <w:shd w:val="clear" w:color="auto" w:fill="FFFFFF"/>
            <w:noWrap w:val="0"/>
            <w:vAlign w:val="top"/>
          </w:tcPr>
          <w:p w14:paraId="05EF961E">
            <w:pPr>
              <w:rPr>
                <w:rFonts w:hint="eastAsia" w:ascii="宋体" w:hAnsi="宋体" w:cs="Arial"/>
                <w:sz w:val="18"/>
                <w:szCs w:val="18"/>
              </w:rPr>
            </w:pPr>
            <w:r>
              <w:rPr>
                <w:rFonts w:hint="eastAsia" w:ascii="宋体" w:hAnsi="宋体"/>
                <w:b/>
                <w:color w:val="000000"/>
                <w:sz w:val="18"/>
                <w:szCs w:val="18"/>
              </w:rPr>
              <w:t>费用已含</w:t>
            </w:r>
            <w:r>
              <w:rPr>
                <w:rFonts w:ascii="宋体" w:hAnsi="宋体"/>
                <w:b/>
                <w:color w:val="000000"/>
                <w:sz w:val="18"/>
                <w:szCs w:val="18"/>
              </w:rPr>
              <w:t>：</w:t>
            </w:r>
          </w:p>
          <w:p w14:paraId="644C4F3A">
            <w:pPr>
              <w:spacing w:line="320" w:lineRule="exact"/>
              <w:rPr>
                <w:rFonts w:hint="eastAsia" w:ascii="微软雅黑" w:hAnsi="微软雅黑" w:eastAsia="微软雅黑"/>
                <w:sz w:val="18"/>
                <w:szCs w:val="18"/>
              </w:rPr>
            </w:pPr>
            <w:r>
              <w:rPr>
                <w:rFonts w:hint="eastAsia" w:ascii="微软雅黑" w:hAnsi="微软雅黑" w:eastAsia="微软雅黑"/>
                <w:sz w:val="18"/>
                <w:szCs w:val="18"/>
              </w:rPr>
              <w:t>1、机票：广州/曼谷往返普通经济舱机票。</w:t>
            </w:r>
          </w:p>
          <w:p w14:paraId="6B38D9EA">
            <w:pPr>
              <w:spacing w:line="320" w:lineRule="exact"/>
              <w:rPr>
                <w:rFonts w:ascii="微软雅黑" w:hAnsi="微软雅黑" w:eastAsia="微软雅黑"/>
                <w:sz w:val="18"/>
                <w:szCs w:val="18"/>
              </w:rPr>
            </w:pPr>
            <w:r>
              <w:rPr>
                <w:rFonts w:hint="eastAsia" w:ascii="微软雅黑" w:hAnsi="微软雅黑" w:eastAsia="微软雅黑"/>
                <w:sz w:val="18"/>
                <w:szCs w:val="18"/>
              </w:rPr>
              <w:t>2、住宿：行程内</w:t>
            </w:r>
            <w:r>
              <w:rPr>
                <w:rFonts w:hint="eastAsia" w:ascii="微软雅黑" w:hAnsi="微软雅黑" w:eastAsia="微软雅黑"/>
                <w:sz w:val="18"/>
                <w:szCs w:val="18"/>
                <w:lang w:val="en-US" w:eastAsia="zh-CN"/>
              </w:rPr>
              <w:t>酒店</w:t>
            </w:r>
            <w:r>
              <w:rPr>
                <w:rFonts w:hint="eastAsia" w:ascii="微软雅黑" w:hAnsi="微软雅黑" w:eastAsia="微软雅黑"/>
                <w:sz w:val="18"/>
                <w:szCs w:val="18"/>
              </w:rPr>
              <w:t>，住宿为两人标准间，含每人每晚一床位，酒店住宿若出现单男单女，旅行社会按照报名先后的顺序安排同性客人同住，若客人不接受此种方式或经协调最终不能安排的，客人须在出发前补单房差。</w:t>
            </w:r>
          </w:p>
          <w:p w14:paraId="2CB46F62">
            <w:pPr>
              <w:spacing w:line="320" w:lineRule="exact"/>
              <w:rPr>
                <w:rFonts w:ascii="微软雅黑" w:hAnsi="微软雅黑" w:eastAsia="微软雅黑"/>
                <w:sz w:val="18"/>
                <w:szCs w:val="18"/>
              </w:rPr>
            </w:pPr>
            <w:r>
              <w:rPr>
                <w:rFonts w:hint="eastAsia" w:ascii="微软雅黑" w:hAnsi="微软雅黑" w:eastAsia="微软雅黑"/>
                <w:sz w:val="18"/>
                <w:szCs w:val="18"/>
              </w:rPr>
              <w:t>3、用餐：行程内标注用餐，按实际航班安排，早餐 （</w:t>
            </w:r>
            <w:r>
              <w:rPr>
                <w:rFonts w:hint="eastAsia" w:ascii="微软雅黑" w:hAnsi="微软雅黑" w:eastAsia="微软雅黑"/>
                <w:sz w:val="18"/>
                <w:szCs w:val="18"/>
                <w:lang w:val="en-US" w:eastAsia="zh-CN"/>
              </w:rPr>
              <w:t>酒店内</w:t>
            </w:r>
            <w:r>
              <w:rPr>
                <w:rFonts w:hint="eastAsia" w:ascii="微软雅黑" w:hAnsi="微软雅黑" w:eastAsia="微软雅黑"/>
                <w:sz w:val="18"/>
                <w:szCs w:val="18"/>
              </w:rPr>
              <w:t>）,正餐</w:t>
            </w:r>
            <w:r>
              <w:rPr>
                <w:rFonts w:hint="eastAsia" w:ascii="微软雅黑" w:hAnsi="微软雅黑" w:eastAsia="微软雅黑"/>
                <w:sz w:val="18"/>
                <w:szCs w:val="18"/>
                <w:lang w:val="en-US" w:eastAsia="zh-CN"/>
              </w:rPr>
              <w:t>为行程所列</w:t>
            </w:r>
            <w:r>
              <w:rPr>
                <w:rFonts w:hint="eastAsia" w:ascii="微软雅黑" w:hAnsi="微软雅黑" w:eastAsia="微软雅黑"/>
                <w:b/>
                <w:bCs/>
                <w:sz w:val="18"/>
                <w:szCs w:val="18"/>
                <w:lang w:eastAsia="zh-CN"/>
              </w:rPr>
              <w:t>（</w:t>
            </w:r>
            <w:r>
              <w:rPr>
                <w:rFonts w:hint="eastAsia" w:ascii="微软雅黑" w:hAnsi="微软雅黑" w:eastAsia="微软雅黑"/>
                <w:b/>
                <w:bCs/>
                <w:sz w:val="18"/>
                <w:szCs w:val="18"/>
                <w:lang w:val="en-US" w:eastAsia="zh-CN"/>
              </w:rPr>
              <w:t>正餐餐标约30元/人/餐，泰式自助火锅约40元/人/餐，</w:t>
            </w:r>
            <w:r>
              <w:rPr>
                <w:rFonts w:hint="eastAsia" w:ascii="微软雅黑" w:hAnsi="微软雅黑" w:eastAsia="微软雅黑" w:cs="微软雅黑"/>
                <w:b/>
                <w:bCs/>
                <w:i w:val="0"/>
                <w:iCs w:val="0"/>
                <w:caps w:val="0"/>
                <w:color w:val="222222"/>
                <w:spacing w:val="0"/>
                <w:sz w:val="18"/>
                <w:szCs w:val="18"/>
                <w:shd w:val="clear" w:fill="FFFFFF"/>
                <w:lang w:val="en-US" w:eastAsia="zh-CN"/>
              </w:rPr>
              <w:t>泰式围桌餐</w:t>
            </w:r>
            <w:r>
              <w:rPr>
                <w:rFonts w:hint="eastAsia" w:ascii="微软雅黑" w:hAnsi="微软雅黑" w:eastAsia="微软雅黑"/>
                <w:b/>
                <w:bCs/>
                <w:sz w:val="18"/>
                <w:szCs w:val="18"/>
                <w:lang w:val="en-US" w:eastAsia="zh-CN"/>
              </w:rPr>
              <w:t>约50元/人/餐，火山排骨约30元/人/餐，</w:t>
            </w:r>
            <w:r>
              <w:rPr>
                <w:rFonts w:hint="eastAsia" w:ascii="微软雅黑" w:hAnsi="微软雅黑" w:eastAsia="微软雅黑" w:cs="Times New Roman"/>
                <w:b/>
                <w:bCs/>
                <w:sz w:val="18"/>
                <w:szCs w:val="18"/>
                <w:lang w:val="en-US" w:eastAsia="zh-CN"/>
              </w:rPr>
              <w:t>海鲜BBQ自助餐约60元/人/餐，帝王手抓饭约30元/人/餐，丝路宫廷约40元/人/餐</w:t>
            </w:r>
            <w:r>
              <w:rPr>
                <w:rFonts w:hint="eastAsia" w:ascii="微软雅黑" w:hAnsi="微软雅黑" w:eastAsia="微软雅黑"/>
                <w:b/>
                <w:bCs/>
                <w:sz w:val="18"/>
                <w:szCs w:val="18"/>
                <w:lang w:eastAsia="zh-CN"/>
              </w:rPr>
              <w:t>）</w:t>
            </w:r>
            <w:r>
              <w:rPr>
                <w:rFonts w:hint="eastAsia" w:ascii="微软雅黑" w:hAnsi="微软雅黑" w:eastAsia="微软雅黑"/>
                <w:sz w:val="18"/>
                <w:szCs w:val="18"/>
              </w:rPr>
              <w:t>，围桌为8菜1汤</w:t>
            </w:r>
            <w:r>
              <w:rPr>
                <w:rFonts w:hint="eastAsia" w:ascii="微软雅黑" w:hAnsi="微软雅黑" w:eastAsia="微软雅黑"/>
                <w:sz w:val="18"/>
                <w:szCs w:val="18"/>
                <w:lang w:eastAsia="zh-CN"/>
              </w:rPr>
              <w:t>（</w:t>
            </w:r>
            <w:r>
              <w:rPr>
                <w:rFonts w:hint="eastAsia" w:ascii="微软雅黑" w:hAnsi="微软雅黑" w:eastAsia="微软雅黑"/>
                <w:sz w:val="18"/>
                <w:szCs w:val="18"/>
              </w:rPr>
              <w:t>不含酒水</w:t>
            </w:r>
            <w:r>
              <w:rPr>
                <w:rFonts w:hint="eastAsia" w:ascii="微软雅黑" w:hAnsi="微软雅黑" w:eastAsia="微软雅黑"/>
                <w:sz w:val="18"/>
                <w:szCs w:val="18"/>
                <w:lang w:eastAsia="zh-CN"/>
              </w:rPr>
              <w:t>）</w:t>
            </w:r>
            <w:r>
              <w:rPr>
                <w:rFonts w:hint="eastAsia" w:ascii="微软雅黑" w:hAnsi="微软雅黑" w:eastAsia="微软雅黑"/>
                <w:sz w:val="18"/>
                <w:szCs w:val="18"/>
                <w:lang w:val="en-US" w:eastAsia="zh-CN"/>
              </w:rPr>
              <w:t>根据人数餐数会有所减少</w:t>
            </w:r>
            <w:r>
              <w:rPr>
                <w:rFonts w:hint="eastAsia" w:ascii="微软雅黑" w:hAnsi="微软雅黑" w:eastAsia="微软雅黑"/>
                <w:sz w:val="18"/>
                <w:szCs w:val="18"/>
              </w:rPr>
              <w:t>；所有餐食如自动放弃，款项恕不退还；所有餐食如自动放弃，款项恕不退还。</w:t>
            </w:r>
          </w:p>
          <w:p w14:paraId="79297F98">
            <w:pPr>
              <w:spacing w:line="320" w:lineRule="exact"/>
              <w:rPr>
                <w:rFonts w:hint="eastAsia" w:ascii="微软雅黑" w:hAnsi="微软雅黑" w:eastAsia="微软雅黑"/>
                <w:sz w:val="18"/>
                <w:szCs w:val="18"/>
              </w:rPr>
            </w:pPr>
            <w:r>
              <w:rPr>
                <w:rFonts w:hint="eastAsia" w:ascii="微软雅黑" w:hAnsi="微软雅黑" w:eastAsia="微软雅黑"/>
                <w:sz w:val="18"/>
                <w:szCs w:val="18"/>
              </w:rPr>
              <w:t>4、用车：地接用车将根据团队人数安排空调旅游车，保证每人1正座。</w:t>
            </w:r>
          </w:p>
          <w:p w14:paraId="2BE41D27">
            <w:pPr>
              <w:widowControl/>
              <w:spacing w:line="360" w:lineRule="exact"/>
              <w:rPr>
                <w:rFonts w:hint="eastAsia" w:ascii="微软雅黑" w:hAnsi="微软雅黑" w:eastAsia="微软雅黑"/>
                <w:sz w:val="18"/>
                <w:szCs w:val="18"/>
              </w:rPr>
            </w:pPr>
            <w:r>
              <w:rPr>
                <w:rFonts w:hint="eastAsia" w:ascii="微软雅黑" w:hAnsi="微软雅黑" w:eastAsia="微软雅黑"/>
                <w:sz w:val="18"/>
                <w:szCs w:val="18"/>
              </w:rPr>
              <w:t>5、旅行社责任险。</w:t>
            </w:r>
          </w:p>
          <w:p w14:paraId="3ED1C3DC">
            <w:pPr>
              <w:widowControl/>
              <w:spacing w:line="360" w:lineRule="exact"/>
              <w:rPr>
                <w:rFonts w:hint="eastAsia" w:ascii="微软雅黑" w:hAnsi="微软雅黑"/>
                <w:b/>
                <w:sz w:val="18"/>
                <w:szCs w:val="18"/>
              </w:rPr>
            </w:pPr>
            <w:r>
              <w:rPr>
                <w:rFonts w:hint="eastAsia" w:ascii="微软雅黑" w:hAnsi="微软雅黑" w:eastAsia="微软雅黑"/>
                <w:sz w:val="18"/>
                <w:szCs w:val="18"/>
              </w:rPr>
              <w:t>6、购物：全程安排3个购物店。某些景区内部可能有商店、特产店、士多店</w:t>
            </w:r>
            <w:r>
              <w:rPr>
                <w:rFonts w:hint="eastAsia" w:ascii="微软雅黑" w:hAnsi="微软雅黑" w:eastAsia="微软雅黑"/>
                <w:sz w:val="18"/>
                <w:szCs w:val="18"/>
                <w:lang w:eastAsia="zh-CN"/>
              </w:rPr>
              <w:t>，</w:t>
            </w:r>
            <w:r>
              <w:rPr>
                <w:rFonts w:hint="eastAsia" w:ascii="微软雅黑" w:hAnsi="微软雅黑" w:eastAsia="微软雅黑"/>
                <w:sz w:val="18"/>
                <w:szCs w:val="18"/>
                <w:lang w:val="en-US" w:eastAsia="zh-CN"/>
              </w:rPr>
              <w:t>中途休息站土特产、四面佛、免税店</w:t>
            </w:r>
            <w:r>
              <w:rPr>
                <w:rFonts w:hint="eastAsia" w:ascii="微软雅黑" w:hAnsi="微软雅黑" w:eastAsia="微软雅黑"/>
                <w:sz w:val="18"/>
                <w:szCs w:val="18"/>
              </w:rPr>
              <w:t>等等，不属于本行程安排的购物店范畴，敬请知须！</w:t>
            </w:r>
          </w:p>
        </w:tc>
      </w:tr>
      <w:tr w14:paraId="578ECFAD">
        <w:tblPrEx>
          <w:tblBorders>
            <w:top w:val="single" w:color="7B7B7B" w:themeColor="accent3" w:themeShade="BF" w:sz="8" w:space="0"/>
            <w:left w:val="single" w:color="7B7B7B" w:themeColor="accent3" w:themeShade="BF" w:sz="8" w:space="0"/>
            <w:bottom w:val="single" w:color="7B7B7B" w:themeColor="accent3" w:themeShade="BF" w:sz="8" w:space="0"/>
            <w:right w:val="single" w:color="7B7B7B" w:themeColor="accent3" w:themeShade="BF" w:sz="8" w:space="0"/>
            <w:insideH w:val="single" w:color="7B7B7B" w:themeColor="accent3" w:themeShade="BF" w:sz="8" w:space="0"/>
            <w:insideV w:val="single" w:color="7B7B7B" w:themeColor="accent3" w:themeShade="BF" w:sz="8" w:space="0"/>
          </w:tblBorders>
          <w:shd w:val="clear" w:color="auto" w:fill="FFFFFF"/>
          <w:tblCellMar>
            <w:top w:w="0" w:type="dxa"/>
            <w:left w:w="108" w:type="dxa"/>
            <w:bottom w:w="0" w:type="dxa"/>
            <w:right w:w="108" w:type="dxa"/>
          </w:tblCellMar>
        </w:tblPrEx>
        <w:trPr>
          <w:gridAfter w:val="1"/>
          <w:wAfter w:w="322" w:type="dxa"/>
          <w:trHeight w:val="234" w:hRule="atLeast"/>
          <w:jc w:val="center"/>
        </w:trPr>
        <w:tc>
          <w:tcPr>
            <w:tcW w:w="9720" w:type="dxa"/>
            <w:gridSpan w:val="3"/>
            <w:tcBorders>
              <w:tl2br w:val="nil"/>
              <w:tr2bl w:val="nil"/>
            </w:tcBorders>
            <w:shd w:val="clear" w:color="auto" w:fill="FFFFFF"/>
            <w:noWrap w:val="0"/>
            <w:vAlign w:val="top"/>
          </w:tcPr>
          <w:p w14:paraId="7ECCA696">
            <w:pPr>
              <w:spacing w:line="320" w:lineRule="exact"/>
              <w:rPr>
                <w:rFonts w:hint="eastAsia" w:ascii="微软雅黑" w:hAnsi="微软雅黑" w:eastAsia="微软雅黑"/>
                <w:b/>
                <w:bCs/>
                <w:sz w:val="18"/>
                <w:szCs w:val="18"/>
              </w:rPr>
            </w:pPr>
            <w:r>
              <w:rPr>
                <w:rFonts w:hint="eastAsia" w:ascii="微软雅黑" w:hAnsi="微软雅黑" w:eastAsia="微软雅黑"/>
                <w:b/>
                <w:bCs/>
                <w:sz w:val="18"/>
                <w:szCs w:val="18"/>
              </w:rPr>
              <w:t>费用不含：</w:t>
            </w:r>
          </w:p>
          <w:p w14:paraId="56FA920D">
            <w:pPr>
              <w:spacing w:line="320" w:lineRule="exact"/>
              <w:rPr>
                <w:rFonts w:hint="eastAsia" w:ascii="微软雅黑" w:hAnsi="微软雅黑" w:eastAsia="微软雅黑"/>
                <w:sz w:val="18"/>
                <w:szCs w:val="18"/>
              </w:rPr>
            </w:pPr>
            <w:r>
              <w:rPr>
                <w:rFonts w:hint="eastAsia" w:ascii="微软雅黑" w:hAnsi="微软雅黑" w:eastAsia="微软雅黑"/>
                <w:sz w:val="18"/>
                <w:szCs w:val="18"/>
              </w:rPr>
              <w:t>1、</w:t>
            </w:r>
            <w:r>
              <w:rPr>
                <w:rFonts w:hint="eastAsia" w:ascii="微软雅黑" w:hAnsi="微软雅黑" w:eastAsia="微软雅黑"/>
                <w:sz w:val="18"/>
                <w:szCs w:val="18"/>
                <w:lang w:val="en-US" w:eastAsia="zh-CN"/>
              </w:rPr>
              <w:t>泰国当地</w:t>
            </w:r>
            <w:r>
              <w:rPr>
                <w:rFonts w:hint="eastAsia" w:ascii="微软雅黑" w:hAnsi="微软雅黑" w:eastAsia="微软雅黑"/>
                <w:sz w:val="18"/>
                <w:szCs w:val="18"/>
              </w:rPr>
              <w:t>单人房差（RMB</w:t>
            </w:r>
            <w:r>
              <w:rPr>
                <w:rFonts w:hint="eastAsia" w:ascii="微软雅黑" w:hAnsi="微软雅黑" w:eastAsia="微软雅黑"/>
                <w:sz w:val="18"/>
                <w:szCs w:val="18"/>
                <w:lang w:val="en-US" w:eastAsia="zh-CN"/>
              </w:rPr>
              <w:t>8</w:t>
            </w:r>
            <w:r>
              <w:rPr>
                <w:rFonts w:hint="eastAsia" w:ascii="微软雅黑" w:hAnsi="微软雅黑" w:eastAsia="微软雅黑"/>
                <w:sz w:val="18"/>
                <w:szCs w:val="18"/>
              </w:rPr>
              <w:t>00元/人）。</w:t>
            </w:r>
          </w:p>
          <w:p w14:paraId="5A0E8FDE">
            <w:pPr>
              <w:spacing w:line="320" w:lineRule="exact"/>
              <w:rPr>
                <w:rFonts w:hint="eastAsia" w:ascii="微软雅黑" w:hAnsi="微软雅黑" w:eastAsia="微软雅黑"/>
                <w:sz w:val="18"/>
                <w:szCs w:val="18"/>
              </w:rPr>
            </w:pPr>
            <w:r>
              <w:rPr>
                <w:rFonts w:hint="eastAsia" w:ascii="微软雅黑" w:hAnsi="微软雅黑" w:eastAsia="微软雅黑"/>
                <w:sz w:val="18"/>
                <w:szCs w:val="18"/>
              </w:rPr>
              <w:t>2、</w:t>
            </w:r>
            <w:r>
              <w:rPr>
                <w:rFonts w:hint="eastAsia" w:ascii="微软雅黑" w:hAnsi="微软雅黑" w:eastAsia="微软雅黑"/>
                <w:sz w:val="18"/>
                <w:szCs w:val="18"/>
                <w:highlight w:val="cyan"/>
                <w:lang w:val="en-US" w:eastAsia="zh-CN"/>
              </w:rPr>
              <w:t>全程司陪服务费加税：500元/人</w:t>
            </w:r>
            <w:r>
              <w:rPr>
                <w:rFonts w:hint="eastAsia" w:ascii="微软雅黑" w:hAnsi="微软雅黑" w:eastAsia="微软雅黑"/>
                <w:sz w:val="18"/>
                <w:szCs w:val="18"/>
              </w:rPr>
              <w:t>，随团费一并收取。</w:t>
            </w:r>
          </w:p>
          <w:p w14:paraId="6DAF9E95">
            <w:pPr>
              <w:spacing w:line="320" w:lineRule="exact"/>
              <w:rPr>
                <w:rFonts w:hint="eastAsia" w:ascii="微软雅黑" w:hAnsi="微软雅黑" w:eastAsia="微软雅黑"/>
                <w:sz w:val="18"/>
                <w:szCs w:val="18"/>
              </w:rPr>
            </w:pPr>
            <w:r>
              <w:rPr>
                <w:rFonts w:hint="eastAsia" w:ascii="微软雅黑" w:hAnsi="微软雅黑" w:eastAsia="微软雅黑"/>
                <w:sz w:val="18"/>
                <w:szCs w:val="18"/>
              </w:rPr>
              <w:t>3、</w:t>
            </w:r>
            <w:r>
              <w:rPr>
                <w:rFonts w:hint="eastAsia" w:ascii="微软雅黑" w:hAnsi="微软雅黑" w:eastAsia="微软雅黑"/>
                <w:sz w:val="18"/>
                <w:szCs w:val="18"/>
                <w:highlight w:val="yellow"/>
                <w:lang w:val="en-US" w:eastAsia="zh-CN"/>
              </w:rPr>
              <w:t>签证：</w:t>
            </w:r>
            <w:r>
              <w:rPr>
                <w:rFonts w:hint="eastAsia" w:ascii="微软雅黑" w:hAnsi="微软雅黑" w:eastAsia="微软雅黑" w:cs="Times New Roman"/>
                <w:sz w:val="18"/>
                <w:szCs w:val="18"/>
                <w:highlight w:val="yellow"/>
                <w:lang w:eastAsia="zh-CN"/>
              </w:rPr>
              <w:t>（</w:t>
            </w:r>
            <w:r>
              <w:rPr>
                <w:rFonts w:hint="eastAsia" w:ascii="微软雅黑" w:hAnsi="微软雅黑" w:eastAsia="微软雅黑" w:cs="Times New Roman"/>
                <w:sz w:val="18"/>
                <w:szCs w:val="18"/>
                <w:highlight w:val="yellow"/>
              </w:rPr>
              <w:t>当地时间1月28日，在泰国曼谷，中国与泰国签署互免签证协定。该协定将从2024年3月1日起生效。</w:t>
            </w:r>
            <w:r>
              <w:rPr>
                <w:rFonts w:hint="eastAsia" w:ascii="微软雅黑" w:hAnsi="微软雅黑" w:eastAsia="微软雅黑" w:cs="Times New Roman"/>
                <w:sz w:val="18"/>
                <w:szCs w:val="18"/>
                <w:highlight w:val="yellow"/>
                <w:lang w:eastAsia="zh-CN"/>
              </w:rPr>
              <w:t>）</w:t>
            </w:r>
          </w:p>
          <w:p w14:paraId="157AD06F">
            <w:pPr>
              <w:spacing w:line="320" w:lineRule="exact"/>
              <w:rPr>
                <w:rFonts w:hint="eastAsia" w:ascii="微软雅黑" w:hAnsi="微软雅黑" w:eastAsia="微软雅黑"/>
                <w:sz w:val="18"/>
                <w:szCs w:val="18"/>
              </w:rPr>
            </w:pPr>
            <w:r>
              <w:rPr>
                <w:rFonts w:hint="eastAsia" w:ascii="微软雅黑" w:hAnsi="微软雅黑" w:eastAsia="微软雅黑"/>
                <w:sz w:val="18"/>
                <w:szCs w:val="18"/>
              </w:rPr>
              <w:t>4、个人旅游意外保险费和航空保险费、机场候机转机的用餐费用、燃油税上涨及旺季机位升幅。</w:t>
            </w:r>
          </w:p>
          <w:p w14:paraId="53B96357">
            <w:pPr>
              <w:spacing w:line="320" w:lineRule="exact"/>
              <w:rPr>
                <w:rFonts w:hint="eastAsia" w:ascii="微软雅黑" w:hAnsi="微软雅黑" w:eastAsia="微软雅黑"/>
                <w:sz w:val="18"/>
                <w:szCs w:val="18"/>
              </w:rPr>
            </w:pPr>
            <w:r>
              <w:rPr>
                <w:rFonts w:hint="eastAsia" w:ascii="微软雅黑" w:hAnsi="微软雅黑" w:eastAsia="微软雅黑"/>
                <w:sz w:val="18"/>
                <w:szCs w:val="18"/>
              </w:rPr>
              <w:t>5、广州机场至市区或内地的往返交通费用，旅途中火车、轮船、飞机上餐费,行程表以外活动项目所需的费用。</w:t>
            </w:r>
          </w:p>
          <w:p w14:paraId="6F1BFD1E">
            <w:pPr>
              <w:spacing w:line="320" w:lineRule="exact"/>
              <w:rPr>
                <w:rFonts w:hint="eastAsia" w:ascii="微软雅黑" w:hAnsi="微软雅黑" w:eastAsia="微软雅黑"/>
                <w:sz w:val="18"/>
                <w:szCs w:val="18"/>
              </w:rPr>
            </w:pPr>
            <w:r>
              <w:rPr>
                <w:rFonts w:hint="eastAsia" w:ascii="微软雅黑" w:hAnsi="微软雅黑" w:eastAsia="微软雅黑"/>
                <w:sz w:val="18"/>
                <w:szCs w:val="18"/>
              </w:rPr>
              <w:t>6、出入境行李的海关税、搬运费、保管费和超重（件）行李托运费,卫生检疫费。</w:t>
            </w:r>
          </w:p>
          <w:p w14:paraId="4F86C274">
            <w:pPr>
              <w:spacing w:line="320" w:lineRule="exact"/>
              <w:rPr>
                <w:rFonts w:hint="eastAsia" w:ascii="微软雅黑" w:hAnsi="微软雅黑" w:eastAsia="微软雅黑"/>
                <w:sz w:val="18"/>
                <w:szCs w:val="18"/>
              </w:rPr>
            </w:pPr>
            <w:r>
              <w:rPr>
                <w:rFonts w:hint="eastAsia" w:ascii="微软雅黑" w:hAnsi="微软雅黑" w:eastAsia="微软雅黑"/>
                <w:sz w:val="18"/>
                <w:szCs w:val="18"/>
              </w:rPr>
              <w:t>7、因罢工、台风、交通延误或变更等一些不可抗拒因素所引致的额外费用。</w:t>
            </w:r>
          </w:p>
          <w:p w14:paraId="39081B29">
            <w:pPr>
              <w:overflowPunct w:val="0"/>
              <w:autoSpaceDE w:val="0"/>
              <w:autoSpaceDN w:val="0"/>
              <w:adjustRightInd w:val="0"/>
              <w:rPr>
                <w:rFonts w:hint="eastAsia"/>
              </w:rPr>
            </w:pPr>
            <w:r>
              <w:rPr>
                <w:rFonts w:hint="eastAsia" w:ascii="微软雅黑" w:hAnsi="微软雅黑" w:eastAsia="微软雅黑"/>
                <w:sz w:val="18"/>
                <w:szCs w:val="18"/>
              </w:rPr>
              <w:t>8、私人性质的消费（如酒店内的酒水、洗衣、通讯等费用）。</w:t>
            </w:r>
          </w:p>
        </w:tc>
      </w:tr>
      <w:tr w14:paraId="2EB51CC1">
        <w:tblPrEx>
          <w:tblBorders>
            <w:top w:val="single" w:color="7B7B7B" w:themeColor="accent3" w:themeShade="BF" w:sz="8" w:space="0"/>
            <w:left w:val="single" w:color="7B7B7B" w:themeColor="accent3" w:themeShade="BF" w:sz="8" w:space="0"/>
            <w:bottom w:val="single" w:color="7B7B7B" w:themeColor="accent3" w:themeShade="BF" w:sz="8" w:space="0"/>
            <w:right w:val="single" w:color="7B7B7B" w:themeColor="accent3" w:themeShade="BF" w:sz="8" w:space="0"/>
            <w:insideH w:val="single" w:color="7B7B7B" w:themeColor="accent3" w:themeShade="BF" w:sz="8" w:space="0"/>
            <w:insideV w:val="single" w:color="7B7B7B" w:themeColor="accent3" w:themeShade="BF" w:sz="8" w:space="0"/>
          </w:tblBorders>
          <w:shd w:val="clear" w:color="auto" w:fill="FFFFFF"/>
          <w:tblCellMar>
            <w:top w:w="0" w:type="dxa"/>
            <w:left w:w="108" w:type="dxa"/>
            <w:bottom w:w="0" w:type="dxa"/>
            <w:right w:w="108" w:type="dxa"/>
          </w:tblCellMar>
        </w:tblPrEx>
        <w:trPr>
          <w:gridAfter w:val="1"/>
          <w:wAfter w:w="322" w:type="dxa"/>
          <w:trHeight w:val="1618" w:hRule="atLeast"/>
          <w:jc w:val="center"/>
        </w:trPr>
        <w:tc>
          <w:tcPr>
            <w:tcW w:w="9720" w:type="dxa"/>
            <w:gridSpan w:val="3"/>
            <w:tcBorders>
              <w:tl2br w:val="nil"/>
              <w:tr2bl w:val="nil"/>
            </w:tcBorders>
            <w:shd w:val="clear" w:color="auto" w:fill="FFFFFF"/>
            <w:noWrap w:val="0"/>
            <w:vAlign w:val="top"/>
          </w:tcPr>
          <w:p w14:paraId="35A3C30B">
            <w:pPr>
              <w:rPr>
                <w:rFonts w:ascii="宋体" w:hAnsi="宋体"/>
                <w:b/>
                <w:color w:val="000000"/>
                <w:sz w:val="18"/>
                <w:szCs w:val="18"/>
              </w:rPr>
            </w:pPr>
            <w:r>
              <w:rPr>
                <w:rFonts w:hint="eastAsia" w:ascii="宋体" w:hAnsi="宋体"/>
                <w:b/>
                <w:color w:val="000000"/>
                <w:sz w:val="18"/>
                <w:szCs w:val="18"/>
              </w:rPr>
              <w:t>特殊价格说明：</w:t>
            </w:r>
          </w:p>
          <w:p w14:paraId="5DFA0923">
            <w:pPr>
              <w:tabs>
                <w:tab w:val="left" w:pos="720"/>
              </w:tabs>
              <w:adjustRightInd w:val="0"/>
              <w:spacing w:line="320" w:lineRule="exact"/>
              <w:textAlignment w:val="baseline"/>
              <w:rPr>
                <w:rFonts w:hint="eastAsia" w:ascii="微软雅黑" w:hAnsi="微软雅黑" w:eastAsia="微软雅黑"/>
                <w:sz w:val="18"/>
                <w:szCs w:val="18"/>
              </w:rPr>
            </w:pPr>
            <w:r>
              <w:rPr>
                <w:rFonts w:hint="eastAsia" w:ascii="微软雅黑" w:hAnsi="微软雅黑" w:eastAsia="微软雅黑"/>
                <w:sz w:val="18"/>
                <w:szCs w:val="18"/>
              </w:rPr>
              <w:t>1、6</w:t>
            </w:r>
            <w:r>
              <w:rPr>
                <w:rFonts w:hint="eastAsia" w:ascii="微软雅黑" w:hAnsi="微软雅黑" w:eastAsia="微软雅黑"/>
                <w:sz w:val="18"/>
                <w:szCs w:val="18"/>
                <w:lang w:val="en-US" w:eastAsia="zh-CN"/>
              </w:rPr>
              <w:t>5</w:t>
            </w:r>
            <w:r>
              <w:rPr>
                <w:rFonts w:hint="eastAsia" w:ascii="微软雅黑" w:hAnsi="微软雅黑" w:eastAsia="微软雅黑"/>
                <w:sz w:val="18"/>
                <w:szCs w:val="18"/>
              </w:rPr>
              <w:t>岁(</w:t>
            </w:r>
            <w:r>
              <w:rPr>
                <w:rFonts w:hint="eastAsia" w:ascii="微软雅黑" w:hAnsi="微软雅黑" w:eastAsia="微软雅黑"/>
                <w:sz w:val="18"/>
                <w:szCs w:val="18"/>
                <w:lang w:val="en-US" w:eastAsia="zh-CN"/>
              </w:rPr>
              <w:t>按年份</w:t>
            </w:r>
            <w:r>
              <w:rPr>
                <w:rFonts w:hint="eastAsia" w:ascii="微软雅黑" w:hAnsi="微软雅黑" w:eastAsia="微软雅黑"/>
                <w:sz w:val="18"/>
                <w:szCs w:val="18"/>
              </w:rPr>
              <w:t>)以上老人+300元/人。</w:t>
            </w:r>
          </w:p>
          <w:p w14:paraId="07BFF823">
            <w:pPr>
              <w:tabs>
                <w:tab w:val="left" w:pos="720"/>
                <w:tab w:val="left" w:pos="6664"/>
              </w:tabs>
              <w:adjustRightInd w:val="0"/>
              <w:spacing w:line="320" w:lineRule="exact"/>
              <w:textAlignment w:val="baseline"/>
              <w:rPr>
                <w:rFonts w:ascii="微软雅黑" w:hAnsi="微软雅黑" w:eastAsia="微软雅黑"/>
                <w:sz w:val="18"/>
                <w:szCs w:val="18"/>
              </w:rPr>
            </w:pPr>
            <w:r>
              <w:rPr>
                <w:rFonts w:hint="eastAsia" w:ascii="微软雅黑" w:hAnsi="微软雅黑" w:eastAsia="微软雅黑"/>
                <w:sz w:val="18"/>
                <w:szCs w:val="18"/>
              </w:rPr>
              <w:t>2、</w:t>
            </w:r>
            <w:r>
              <w:rPr>
                <w:rFonts w:hint="eastAsia" w:ascii="inherit" w:hAnsi="inherit" w:eastAsia="微软雅黑" w:cs="宋体"/>
                <w:color w:val="222222"/>
                <w:kern w:val="0"/>
                <w:sz w:val="20"/>
                <w:szCs w:val="20"/>
              </w:rPr>
              <w:t>小孩收费：2-11岁以下小孩不占床+300元/人，此收费提供机位、车位、正餐及景点第一道门票半票（若超高请自行补足门票差价），不提供住宿床位及早餐。</w:t>
            </w:r>
            <w:r>
              <w:rPr>
                <w:rFonts w:hint="eastAsia" w:ascii="微软雅黑" w:hAnsi="微软雅黑" w:eastAsia="微软雅黑"/>
                <w:sz w:val="18"/>
                <w:szCs w:val="18"/>
              </w:rPr>
              <w:t>12-18岁必须占床+1000元/人；婴儿价格另询。</w:t>
            </w:r>
          </w:p>
          <w:p w14:paraId="13E9E5EA">
            <w:pPr>
              <w:tabs>
                <w:tab w:val="left" w:pos="720"/>
              </w:tabs>
              <w:adjustRightInd w:val="0"/>
              <w:spacing w:line="240" w:lineRule="auto"/>
              <w:textAlignment w:val="baseline"/>
              <w:rPr>
                <w:rFonts w:hint="eastAsia" w:ascii="微软雅黑" w:hAnsi="微软雅黑" w:eastAsia="微软雅黑"/>
                <w:sz w:val="18"/>
                <w:szCs w:val="18"/>
              </w:rPr>
            </w:pPr>
            <w:r>
              <w:rPr>
                <w:rFonts w:hint="eastAsia" w:ascii="微软雅黑" w:hAnsi="微软雅黑"/>
                <w:bCs/>
                <w:sz w:val="18"/>
                <w:szCs w:val="18"/>
              </w:rPr>
              <w:t>3、</w:t>
            </w:r>
            <w:r>
              <w:rPr>
                <w:rFonts w:hint="eastAsia" w:ascii="微软雅黑" w:hAnsi="微软雅黑" w:eastAsia="微软雅黑"/>
                <w:bCs/>
                <w:sz w:val="18"/>
                <w:szCs w:val="18"/>
              </w:rPr>
              <w:t>以上价格仅适用持有中国护照的客人，持港澳台及外籍护照客人需要额外支付机票差价</w:t>
            </w:r>
            <w:r>
              <w:rPr>
                <w:rFonts w:hint="eastAsia" w:ascii="微软雅黑" w:hAnsi="微软雅黑" w:eastAsia="微软雅黑"/>
                <w:bCs/>
                <w:sz w:val="18"/>
                <w:szCs w:val="18"/>
                <w:u w:val="single"/>
                <w:shd w:val="pct10" w:color="auto" w:fill="FFFFFF"/>
              </w:rPr>
              <w:t>RMB500/人（签证自理）。</w:t>
            </w:r>
          </w:p>
        </w:tc>
      </w:tr>
      <w:tr w14:paraId="0E1A90B7">
        <w:tblPrEx>
          <w:tblBorders>
            <w:top w:val="single" w:color="7B7B7B" w:themeColor="accent3" w:themeShade="BF" w:sz="8" w:space="0"/>
            <w:left w:val="single" w:color="7B7B7B" w:themeColor="accent3" w:themeShade="BF" w:sz="8" w:space="0"/>
            <w:bottom w:val="single" w:color="7B7B7B" w:themeColor="accent3" w:themeShade="BF" w:sz="8" w:space="0"/>
            <w:right w:val="single" w:color="7B7B7B" w:themeColor="accent3" w:themeShade="BF" w:sz="8" w:space="0"/>
            <w:insideH w:val="single" w:color="7B7B7B" w:themeColor="accent3" w:themeShade="BF" w:sz="8" w:space="0"/>
            <w:insideV w:val="single" w:color="7B7B7B" w:themeColor="accent3" w:themeShade="BF" w:sz="8" w:space="0"/>
          </w:tblBorders>
          <w:shd w:val="clear" w:color="auto" w:fill="FFFFFF"/>
          <w:tblCellMar>
            <w:top w:w="0" w:type="dxa"/>
            <w:left w:w="108" w:type="dxa"/>
            <w:bottom w:w="0" w:type="dxa"/>
            <w:right w:w="108" w:type="dxa"/>
          </w:tblCellMar>
        </w:tblPrEx>
        <w:trPr>
          <w:trHeight w:val="523" w:hRule="atLeast"/>
          <w:jc w:val="center"/>
        </w:trPr>
        <w:tc>
          <w:tcPr>
            <w:tcW w:w="10042" w:type="dxa"/>
            <w:gridSpan w:val="4"/>
            <w:tcBorders>
              <w:tl2br w:val="nil"/>
              <w:tr2bl w:val="nil"/>
            </w:tcBorders>
            <w:shd w:val="clear" w:color="auto" w:fill="FFFFFF"/>
            <w:noWrap w:val="0"/>
            <w:vAlign w:val="top"/>
          </w:tcPr>
          <w:p w14:paraId="2B4206AF">
            <w:pPr>
              <w:pStyle w:val="5"/>
              <w:shd w:val="clear" w:color="auto" w:fill="FFFFFF"/>
              <w:snapToGrid w:val="0"/>
              <w:spacing w:before="0" w:beforeAutospacing="0" w:after="150" w:afterAutospacing="0" w:line="240" w:lineRule="exact"/>
              <w:ind w:left="300" w:hanging="300" w:hangingChars="150"/>
              <w:contextualSpacing/>
              <w:rPr>
                <w:rFonts w:hint="eastAsia" w:ascii="微软雅黑" w:hAnsi="微软雅黑" w:eastAsia="微软雅黑" w:cs="Arial"/>
                <w:b/>
                <w:bCs/>
                <w:sz w:val="20"/>
                <w:szCs w:val="20"/>
              </w:rPr>
            </w:pPr>
            <w:r>
              <w:rPr>
                <w:rFonts w:hint="eastAsia" w:ascii="微软雅黑" w:hAnsi="微软雅黑" w:eastAsia="微软雅黑" w:cs="Arial"/>
                <w:b/>
                <w:bCs/>
                <w:sz w:val="20"/>
                <w:szCs w:val="20"/>
                <w:highlight w:val="yellow"/>
                <w:lang w:eastAsia="zh-CN"/>
              </w:rPr>
              <w:t>【</w:t>
            </w:r>
            <w:r>
              <w:rPr>
                <w:rFonts w:hint="eastAsia" w:ascii="微软雅黑" w:hAnsi="微软雅黑" w:eastAsia="微软雅黑" w:cs="Arial"/>
                <w:b/>
                <w:bCs/>
                <w:sz w:val="20"/>
                <w:szCs w:val="20"/>
                <w:highlight w:val="yellow"/>
              </w:rPr>
              <w:t>签证</w:t>
            </w:r>
            <w:r>
              <w:rPr>
                <w:rFonts w:hint="eastAsia" w:ascii="微软雅黑" w:hAnsi="微软雅黑" w:eastAsia="微软雅黑" w:cs="Tahoma"/>
                <w:b/>
                <w:bCs/>
                <w:sz w:val="20"/>
                <w:szCs w:val="20"/>
                <w:highlight w:val="yellow"/>
              </w:rPr>
              <w:t>须知</w:t>
            </w:r>
            <w:r>
              <w:rPr>
                <w:rFonts w:hint="eastAsia" w:ascii="微软雅黑" w:hAnsi="微软雅黑" w:eastAsia="微软雅黑" w:cs="Arial"/>
                <w:b/>
                <w:bCs/>
                <w:sz w:val="20"/>
                <w:szCs w:val="20"/>
                <w:highlight w:val="yellow"/>
              </w:rPr>
              <w:t>】</w:t>
            </w:r>
            <w:r>
              <w:rPr>
                <w:rFonts w:ascii="微软雅黑" w:hAnsi="微软雅黑" w:eastAsia="微软雅黑" w:cs="Arial"/>
                <w:b/>
                <w:bCs/>
                <w:sz w:val="20"/>
                <w:szCs w:val="20"/>
                <w:highlight w:val="yellow"/>
              </w:rPr>
              <w:t>：</w:t>
            </w:r>
          </w:p>
          <w:p w14:paraId="573B975E">
            <w:pPr>
              <w:pStyle w:val="5"/>
              <w:shd w:val="clear" w:color="auto" w:fill="FFFFFF"/>
              <w:snapToGrid w:val="0"/>
              <w:spacing w:before="0" w:beforeAutospacing="0" w:after="150" w:afterAutospacing="0" w:line="240" w:lineRule="exact"/>
              <w:ind w:left="270" w:hanging="270" w:hangingChars="150"/>
              <w:contextualSpacing/>
              <w:rPr>
                <w:rFonts w:hint="eastAsia" w:ascii="微软雅黑" w:hAnsi="微软雅黑" w:eastAsia="微软雅黑" w:cs="Tahoma"/>
                <w:sz w:val="18"/>
                <w:szCs w:val="18"/>
              </w:rPr>
            </w:pPr>
            <w:r>
              <w:rPr>
                <w:rFonts w:hint="eastAsia" w:ascii="微软雅黑" w:hAnsi="微软雅黑" w:eastAsia="微软雅黑" w:cs="Tahoma"/>
                <w:b/>
                <w:bCs/>
                <w:color w:val="0000FF"/>
                <w:sz w:val="18"/>
              </w:rPr>
              <w:t>1、持中国因私护照：</w:t>
            </w:r>
            <w:r>
              <w:rPr>
                <w:rFonts w:hint="eastAsia" w:ascii="微软雅黑" w:hAnsi="微软雅黑" w:eastAsia="微软雅黑" w:cs="Tahoma"/>
                <w:sz w:val="18"/>
                <w:szCs w:val="18"/>
              </w:rPr>
              <w:t>客人报名前请确保自身护照有效期在</w:t>
            </w:r>
            <w:r>
              <w:rPr>
                <w:rFonts w:hint="eastAsia" w:ascii="微软雅黑" w:hAnsi="微软雅黑" w:eastAsia="微软雅黑" w:cs="Tahoma"/>
                <w:sz w:val="18"/>
                <w:szCs w:val="18"/>
                <w:lang w:val="en-US" w:eastAsia="zh-CN"/>
              </w:rPr>
              <w:t>180天</w:t>
            </w:r>
            <w:r>
              <w:rPr>
                <w:rFonts w:hint="eastAsia" w:ascii="微软雅黑" w:hAnsi="微软雅黑" w:eastAsia="微软雅黑" w:cs="Tahoma"/>
                <w:sz w:val="18"/>
                <w:szCs w:val="18"/>
              </w:rPr>
              <w:t>以上（指护照有效期＞回程时间+</w:t>
            </w:r>
            <w:r>
              <w:rPr>
                <w:rFonts w:hint="eastAsia" w:ascii="微软雅黑" w:hAnsi="微软雅黑" w:eastAsia="微软雅黑" w:cs="Tahoma"/>
                <w:sz w:val="18"/>
                <w:szCs w:val="18"/>
                <w:lang w:val="en-US" w:eastAsia="zh-CN"/>
              </w:rPr>
              <w:t>180天</w:t>
            </w:r>
            <w:r>
              <w:rPr>
                <w:rFonts w:hint="eastAsia" w:ascii="微软雅黑" w:hAnsi="微软雅黑" w:eastAsia="微软雅黑" w:cs="Tahoma"/>
                <w:sz w:val="18"/>
                <w:szCs w:val="18"/>
              </w:rPr>
              <w:t>）和三页签证空白页，</w:t>
            </w:r>
            <w:r>
              <w:rPr>
                <w:rFonts w:hint="eastAsia" w:ascii="微软雅黑" w:hAnsi="微软雅黑" w:eastAsia="微软雅黑" w:cs="Tahoma"/>
                <w:b/>
                <w:bCs/>
                <w:sz w:val="18"/>
              </w:rPr>
              <w:t>客户报名前必须自己确认护照有效期，否则因护照过期导致无法出游，责任自负</w:t>
            </w:r>
            <w:r>
              <w:rPr>
                <w:rFonts w:hint="eastAsia" w:ascii="微软雅黑" w:hAnsi="微软雅黑" w:eastAsia="微软雅黑" w:cs="Tahoma"/>
                <w:sz w:val="18"/>
                <w:szCs w:val="18"/>
              </w:rPr>
              <w:t>。</w:t>
            </w:r>
          </w:p>
          <w:p w14:paraId="69CD540D">
            <w:pPr>
              <w:pStyle w:val="5"/>
              <w:shd w:val="clear" w:color="auto" w:fill="FFFFFF"/>
              <w:snapToGrid w:val="0"/>
              <w:spacing w:before="0" w:beforeAutospacing="0" w:after="150" w:afterAutospacing="0" w:line="240" w:lineRule="exact"/>
              <w:ind w:left="270" w:hanging="270" w:hangingChars="150"/>
              <w:contextualSpacing/>
              <w:rPr>
                <w:rFonts w:hint="eastAsia" w:ascii="微软雅黑" w:hAnsi="微软雅黑" w:eastAsia="微软雅黑" w:cs="Tahoma"/>
                <w:sz w:val="18"/>
                <w:szCs w:val="18"/>
                <w:lang w:eastAsia="zh-CN"/>
              </w:rPr>
            </w:pPr>
            <w:r>
              <w:rPr>
                <w:rFonts w:hint="eastAsia" w:ascii="微软雅黑" w:hAnsi="微软雅黑" w:eastAsia="微软雅黑" w:cs="Tahoma"/>
                <w:b/>
                <w:bCs/>
                <w:color w:val="0000FF"/>
                <w:sz w:val="18"/>
              </w:rPr>
              <w:t>2、持港澳台（含CI、DI身份证明书）和外籍护照报名的客人：</w:t>
            </w:r>
            <w:r>
              <w:rPr>
                <w:rFonts w:hint="eastAsia" w:ascii="微软雅黑" w:hAnsi="微软雅黑" w:eastAsia="微软雅黑" w:cs="Tahoma"/>
                <w:sz w:val="18"/>
                <w:szCs w:val="18"/>
              </w:rPr>
              <w:t>必须自备前往目的地国家的有效签证，并且必须具备再次进入中国境内的有效签证</w:t>
            </w:r>
            <w:r>
              <w:rPr>
                <w:rFonts w:hint="eastAsia" w:ascii="微软雅黑" w:hAnsi="微软雅黑" w:eastAsia="微软雅黑" w:cs="Tahoma"/>
                <w:sz w:val="18"/>
                <w:szCs w:val="18"/>
                <w:lang w:eastAsia="zh-CN"/>
              </w:rPr>
              <w:t>。</w:t>
            </w:r>
          </w:p>
          <w:p w14:paraId="0257571D">
            <w:pPr>
              <w:pStyle w:val="5"/>
              <w:shd w:val="clear" w:color="auto" w:fill="FFFFFF"/>
              <w:snapToGrid w:val="0"/>
              <w:spacing w:before="0" w:beforeAutospacing="0" w:after="150" w:afterAutospacing="0" w:line="240" w:lineRule="exact"/>
              <w:ind w:left="270" w:hanging="270" w:hangingChars="150"/>
              <w:contextualSpacing/>
              <w:rPr>
                <w:rFonts w:hint="eastAsia" w:ascii="微软雅黑" w:hAnsi="微软雅黑" w:eastAsia="微软雅黑" w:cs="Tahoma"/>
                <w:sz w:val="18"/>
                <w:szCs w:val="18"/>
              </w:rPr>
            </w:pPr>
            <w:r>
              <w:rPr>
                <w:rFonts w:hint="eastAsia" w:ascii="微软雅黑" w:hAnsi="微软雅黑" w:eastAsia="微软雅黑" w:cs="Tahoma"/>
                <w:b/>
                <w:bCs/>
                <w:color w:val="0000FF"/>
                <w:sz w:val="18"/>
              </w:rPr>
              <w:t>3、持港澳台护照客人：</w:t>
            </w:r>
            <w:r>
              <w:rPr>
                <w:rFonts w:hint="eastAsia" w:ascii="微软雅黑" w:hAnsi="微软雅黑" w:eastAsia="微软雅黑" w:cs="Tahoma"/>
                <w:sz w:val="18"/>
                <w:szCs w:val="18"/>
              </w:rPr>
              <w:t>出发当日还请自备有效回乡证、台胞证。如临时发现护照过期或不足有效期者，我司有权按实际产生的费用扣费；</w:t>
            </w:r>
          </w:p>
          <w:p w14:paraId="6C52139B">
            <w:pPr>
              <w:pStyle w:val="5"/>
              <w:shd w:val="clear" w:color="auto" w:fill="FFFFFF"/>
              <w:snapToGrid w:val="0"/>
              <w:spacing w:before="0" w:beforeAutospacing="0" w:after="150" w:afterAutospacing="0" w:line="240" w:lineRule="exact"/>
              <w:ind w:left="270" w:hanging="270" w:hangingChars="150"/>
              <w:contextualSpacing/>
              <w:rPr>
                <w:rFonts w:hint="eastAsia" w:ascii="微软雅黑" w:hAnsi="微软雅黑" w:eastAsia="微软雅黑" w:cs="Tahoma"/>
                <w:sz w:val="18"/>
                <w:szCs w:val="18"/>
              </w:rPr>
            </w:pPr>
            <w:r>
              <w:rPr>
                <w:rFonts w:hint="eastAsia" w:ascii="微软雅黑" w:hAnsi="微软雅黑" w:eastAsia="微软雅黑" w:cs="Tahoma"/>
                <w:b/>
                <w:bCs/>
                <w:color w:val="0000FF"/>
                <w:sz w:val="18"/>
              </w:rPr>
              <w:t>4、泰国机场移民局对入境游客要求最少携带人民币5000元或等值美金，</w:t>
            </w:r>
            <w:r>
              <w:rPr>
                <w:rFonts w:hint="eastAsia" w:ascii="微软雅黑" w:hAnsi="微软雅黑" w:eastAsia="微软雅黑" w:cs="Tahoma"/>
                <w:sz w:val="18"/>
                <w:szCs w:val="18"/>
              </w:rPr>
              <w:t>并对入境者进行随意抽查，请游客最好随身备有5000以上的现金；我公司尽到告知的职责，如遇有抽查而不能入境者，我公司不承担任何责任！</w:t>
            </w:r>
          </w:p>
          <w:p w14:paraId="050A1DAD">
            <w:pPr>
              <w:tabs>
                <w:tab w:val="left" w:pos="720"/>
              </w:tabs>
              <w:adjustRightInd w:val="0"/>
              <w:spacing w:line="240" w:lineRule="auto"/>
              <w:textAlignment w:val="baseline"/>
              <w:rPr>
                <w:rFonts w:hint="eastAsia" w:ascii="微软雅黑" w:hAnsi="微软雅黑"/>
                <w:bCs/>
                <w:sz w:val="18"/>
                <w:szCs w:val="18"/>
              </w:rPr>
            </w:pPr>
            <w:r>
              <w:rPr>
                <w:rFonts w:hint="eastAsia" w:ascii="微软雅黑" w:hAnsi="微软雅黑" w:eastAsia="微软雅黑" w:cs="Arial"/>
                <w:bCs/>
                <w:color w:val="000000"/>
                <w:sz w:val="18"/>
                <w:szCs w:val="18"/>
                <w:lang w:val="en-US" w:eastAsia="zh-CN"/>
              </w:rPr>
              <w:t>5</w:t>
            </w:r>
            <w:r>
              <w:rPr>
                <w:rFonts w:hint="eastAsia" w:ascii="微软雅黑" w:hAnsi="微软雅黑" w:eastAsia="微软雅黑" w:cs="Arial"/>
                <w:bCs/>
                <w:color w:val="000000"/>
                <w:sz w:val="18"/>
                <w:szCs w:val="18"/>
              </w:rPr>
              <w:t>、如因客人的护照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w:t>
            </w:r>
          </w:p>
        </w:tc>
      </w:tr>
      <w:tr w14:paraId="7C7719F8">
        <w:tblPrEx>
          <w:tblBorders>
            <w:top w:val="single" w:color="7B7B7B" w:themeColor="accent3" w:themeShade="BF" w:sz="8" w:space="0"/>
            <w:left w:val="single" w:color="7B7B7B" w:themeColor="accent3" w:themeShade="BF" w:sz="8" w:space="0"/>
            <w:bottom w:val="single" w:color="7B7B7B" w:themeColor="accent3" w:themeShade="BF" w:sz="8" w:space="0"/>
            <w:right w:val="single" w:color="7B7B7B" w:themeColor="accent3" w:themeShade="BF" w:sz="8" w:space="0"/>
            <w:insideH w:val="single" w:color="7B7B7B" w:themeColor="accent3" w:themeShade="BF" w:sz="8" w:space="0"/>
            <w:insideV w:val="single" w:color="7B7B7B" w:themeColor="accent3" w:themeShade="BF" w:sz="8" w:space="0"/>
          </w:tblBorders>
          <w:shd w:val="clear" w:color="auto" w:fill="FFFFFF"/>
          <w:tblCellMar>
            <w:top w:w="0" w:type="dxa"/>
            <w:left w:w="108" w:type="dxa"/>
            <w:bottom w:w="0" w:type="dxa"/>
            <w:right w:w="108" w:type="dxa"/>
          </w:tblCellMar>
        </w:tblPrEx>
        <w:trPr>
          <w:gridAfter w:val="1"/>
          <w:wAfter w:w="322" w:type="dxa"/>
          <w:trHeight w:val="90" w:hRule="atLeast"/>
          <w:jc w:val="center"/>
        </w:trPr>
        <w:tc>
          <w:tcPr>
            <w:tcW w:w="9720" w:type="dxa"/>
            <w:gridSpan w:val="3"/>
            <w:tcBorders>
              <w:tl2br w:val="nil"/>
              <w:tr2bl w:val="nil"/>
            </w:tcBorders>
            <w:shd w:val="clear" w:color="auto" w:fill="FFFFFF"/>
            <w:noWrap w:val="0"/>
            <w:vAlign w:val="top"/>
          </w:tcPr>
          <w:p w14:paraId="5793D738">
            <w:pPr>
              <w:rPr>
                <w:rFonts w:hint="eastAsia" w:ascii="宋体" w:hAnsi="宋体"/>
                <w:b/>
                <w:color w:val="000000"/>
                <w:sz w:val="18"/>
                <w:szCs w:val="18"/>
              </w:rPr>
            </w:pPr>
            <w:r>
              <w:rPr>
                <w:rFonts w:hint="eastAsia" w:ascii="宋体" w:hAnsi="宋体"/>
                <w:b/>
                <w:color w:val="000000"/>
                <w:sz w:val="18"/>
                <w:szCs w:val="18"/>
              </w:rPr>
              <w:t>友情提示：</w:t>
            </w:r>
          </w:p>
          <w:p w14:paraId="3D2A8BC0">
            <w:pPr>
              <w:spacing w:line="320" w:lineRule="exact"/>
              <w:rPr>
                <w:rFonts w:ascii="微软雅黑" w:hAnsi="微软雅黑" w:eastAsia="微软雅黑"/>
                <w:b/>
                <w:bCs/>
                <w:sz w:val="18"/>
                <w:szCs w:val="18"/>
              </w:rPr>
            </w:pPr>
            <w:r>
              <w:rPr>
                <w:rFonts w:hint="eastAsia" w:ascii="微软雅黑" w:hAnsi="微软雅黑" w:eastAsia="微软雅黑"/>
                <w:bCs/>
                <w:sz w:val="18"/>
                <w:szCs w:val="18"/>
              </w:rPr>
              <w:t>1、为了保障客人人生安全，客人须全程随团旅游，确需离团自行活动者应到当团领队处办理相对应的手续。在境外旅游中有不少不法分子利用各种手段，导致客人蒙受金钱损失。我司特意提醒客人，在行程中，一定要跟随我司领队或当地导游出行，不要轻信不法分子甜言蜜语。若在旅途中出现上述情况，不在旅行社承担的责任范围内。</w:t>
            </w:r>
          </w:p>
          <w:p w14:paraId="1F14C336">
            <w:pPr>
              <w:rPr>
                <w:rFonts w:ascii="微软雅黑" w:hAnsi="微软雅黑" w:eastAsia="微软雅黑"/>
                <w:sz w:val="18"/>
                <w:szCs w:val="18"/>
              </w:rPr>
            </w:pPr>
            <w:r>
              <w:rPr>
                <w:rFonts w:hint="eastAsia" w:ascii="微软雅黑" w:hAnsi="微软雅黑" w:eastAsia="微软雅黑"/>
                <w:sz w:val="18"/>
                <w:szCs w:val="18"/>
              </w:rPr>
              <w:t>2、请各位贵宾一定要注意保持自己护照的清洁和完整，如因本人护照污损残缺等原因导致被各国边检、移民局、口岸拒绝出入境，我社将不承担任何责任，所有产生的损失由游客本人自行承担，敬请谅解！</w:t>
            </w:r>
          </w:p>
          <w:p w14:paraId="60C48A6A">
            <w:pPr>
              <w:rPr>
                <w:rFonts w:ascii="微软雅黑" w:hAnsi="微软雅黑" w:eastAsia="微软雅黑"/>
                <w:sz w:val="18"/>
                <w:szCs w:val="18"/>
              </w:rPr>
            </w:pPr>
            <w:r>
              <w:rPr>
                <w:rFonts w:hint="eastAsia" w:ascii="微软雅黑" w:hAnsi="微软雅黑"/>
                <w:sz w:val="18"/>
                <w:szCs w:val="18"/>
              </w:rPr>
              <w:t>3</w:t>
            </w:r>
            <w:r>
              <w:rPr>
                <w:rFonts w:hint="eastAsia" w:ascii="微软雅黑" w:hAnsi="微软雅黑" w:eastAsia="微软雅黑"/>
                <w:sz w:val="18"/>
                <w:szCs w:val="18"/>
              </w:rPr>
              <w:t>、关于出海、沙滩或水上游乐项目的温馨提示：</w:t>
            </w:r>
          </w:p>
          <w:p w14:paraId="40D60EE8">
            <w:pPr>
              <w:rPr>
                <w:rFonts w:ascii="微软雅黑" w:hAnsi="微软雅黑" w:eastAsia="微软雅黑"/>
                <w:sz w:val="18"/>
                <w:szCs w:val="18"/>
              </w:rPr>
            </w:pPr>
            <w:r>
              <w:rPr>
                <w:rFonts w:hint="eastAsia" w:ascii="微软雅黑" w:hAnsi="微软雅黑" w:eastAsia="微软雅黑"/>
                <w:sz w:val="18"/>
                <w:szCs w:val="18"/>
              </w:rPr>
              <w:t>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w:t>
            </w:r>
          </w:p>
          <w:p w14:paraId="3337E1B1">
            <w:pPr>
              <w:rPr>
                <w:rFonts w:ascii="微软雅黑" w:hAnsi="微软雅黑" w:eastAsia="微软雅黑"/>
                <w:sz w:val="18"/>
                <w:szCs w:val="18"/>
              </w:rPr>
            </w:pPr>
            <w:r>
              <w:rPr>
                <w:rFonts w:hint="eastAsia" w:ascii="微软雅黑" w:hAnsi="微软雅黑"/>
                <w:sz w:val="18"/>
                <w:szCs w:val="18"/>
              </w:rPr>
              <w:t>4</w:t>
            </w:r>
            <w:r>
              <w:rPr>
                <w:rFonts w:hint="eastAsia" w:ascii="微软雅黑" w:hAnsi="微软雅黑" w:eastAsia="微软雅黑"/>
                <w:sz w:val="18"/>
                <w:szCs w:val="18"/>
              </w:rPr>
              <w:t>、关于水上活动项目的温馨提示：</w:t>
            </w:r>
          </w:p>
          <w:p w14:paraId="7DAF9ADC">
            <w:pPr>
              <w:rPr>
                <w:rFonts w:ascii="微软雅黑" w:hAnsi="微软雅黑" w:eastAsia="微软雅黑"/>
                <w:sz w:val="18"/>
                <w:szCs w:val="18"/>
              </w:rPr>
            </w:pPr>
            <w:r>
              <w:rPr>
                <w:rFonts w:hint="eastAsia" w:ascii="微软雅黑" w:hAnsi="微软雅黑" w:eastAsia="微软雅黑"/>
                <w:sz w:val="18"/>
                <w:szCs w:val="18"/>
              </w:rPr>
              <w:t>开展活动前，请客人认真聆听当地工作人员的介绍，按照导游或工作人指示，全程必须穿着救生衣；上下船动作一定要稳要慢，不要着急，如码头浪大，船摇晃不定，等船停稳后再有序的上下船，请老人孩子更要留意；遇上台风或大浪时，请听从海监部门、景区等相关人员及导游的指示，切勿强行继续该项目；活动期间，个人物品一定要保管好，特别是手机、相机等贵重物品，以免掉到水里面，离船时要带好随身物品。</w:t>
            </w:r>
          </w:p>
          <w:p w14:paraId="024647A9">
            <w:pPr>
              <w:rPr>
                <w:rFonts w:ascii="微软雅黑" w:hAnsi="微软雅黑" w:eastAsia="微软雅黑"/>
                <w:sz w:val="18"/>
                <w:szCs w:val="18"/>
              </w:rPr>
            </w:pPr>
            <w:r>
              <w:rPr>
                <w:rFonts w:hint="eastAsia" w:ascii="微软雅黑" w:hAnsi="微软雅黑" w:eastAsia="微软雅黑"/>
                <w:sz w:val="18"/>
                <w:szCs w:val="18"/>
              </w:rPr>
              <w:t>5、关于参观当地政治、军事等敏感区域旅游的温馨提示：</w:t>
            </w:r>
          </w:p>
          <w:p w14:paraId="4D0FD42C">
            <w:pPr>
              <w:rPr>
                <w:rFonts w:ascii="微软雅黑" w:hAnsi="微软雅黑" w:eastAsia="微软雅黑"/>
                <w:sz w:val="18"/>
                <w:szCs w:val="18"/>
              </w:rPr>
            </w:pPr>
            <w:r>
              <w:rPr>
                <w:rFonts w:hint="eastAsia" w:ascii="微软雅黑" w:hAnsi="微软雅黑" w:eastAsia="微软雅黑"/>
                <w:sz w:val="18"/>
                <w:szCs w:val="18"/>
              </w:rPr>
              <w:t>不同国家有不同的法律规定，请客人尊守当地法律规定，切勿对当地的政府机构、王宫、军事安全要地、外国驻当地领馆等敏感建筑进行拍摄，否则很有可能遭受罚款、拘留或者入狱、遣返等及极其严厉的处罚。另外，请客人务必遵守当地法律法规及风俗习惯，一旦有当地工作人员发出提示警告或禁止警示的，一定不能与其争辩或有身体碰撞，以避免风险。</w:t>
            </w:r>
          </w:p>
          <w:p w14:paraId="3C08E281">
            <w:pPr>
              <w:spacing w:line="320" w:lineRule="exact"/>
              <w:rPr>
                <w:rFonts w:ascii="微软雅黑" w:hAnsi="微软雅黑" w:eastAsia="微软雅黑"/>
                <w:bCs/>
                <w:sz w:val="18"/>
                <w:szCs w:val="18"/>
              </w:rPr>
            </w:pPr>
            <w:r>
              <w:rPr>
                <w:rFonts w:hint="eastAsia" w:ascii="微软雅黑" w:hAnsi="微软雅黑" w:eastAsia="微软雅黑"/>
                <w:bCs/>
                <w:sz w:val="18"/>
                <w:szCs w:val="18"/>
              </w:rPr>
              <w:t>6、以上价格仅适用持有中国护照的客人，持港澳台及外籍护照客人需要额外支付机票差价</w:t>
            </w:r>
            <w:r>
              <w:rPr>
                <w:rFonts w:hint="eastAsia" w:ascii="微软雅黑" w:hAnsi="微软雅黑" w:eastAsia="微软雅黑"/>
                <w:bCs/>
                <w:sz w:val="18"/>
                <w:szCs w:val="18"/>
                <w:u w:val="single"/>
                <w:shd w:val="pct10" w:color="auto" w:fill="FFFFFF"/>
              </w:rPr>
              <w:t>RMB500/人（签证自理）</w:t>
            </w:r>
            <w:r>
              <w:rPr>
                <w:rFonts w:hint="eastAsia" w:ascii="微软雅黑" w:hAnsi="微软雅黑" w:eastAsia="微软雅黑"/>
                <w:bCs/>
                <w:sz w:val="18"/>
                <w:szCs w:val="18"/>
              </w:rPr>
              <w:t>。除中国护照外凡持外籍护照的客人必须自备有效签证和具备2次以上进出中国境的有效签证。港澳台同胞需备有回乡证和台胞证。</w:t>
            </w:r>
          </w:p>
          <w:p w14:paraId="57A87C29">
            <w:pPr>
              <w:spacing w:line="320" w:lineRule="exact"/>
              <w:rPr>
                <w:rFonts w:hint="eastAsia" w:ascii="微软雅黑" w:hAnsi="微软雅黑" w:eastAsia="微软雅黑"/>
                <w:b/>
                <w:bCs/>
                <w:sz w:val="18"/>
                <w:szCs w:val="18"/>
                <w:u w:val="single"/>
                <w:lang w:eastAsia="zh-CN"/>
              </w:rPr>
            </w:pPr>
            <w:r>
              <w:rPr>
                <w:rFonts w:hint="eastAsia" w:ascii="微软雅黑" w:hAnsi="微软雅黑" w:eastAsia="微软雅黑"/>
                <w:bCs/>
                <w:sz w:val="18"/>
                <w:szCs w:val="18"/>
              </w:rPr>
              <w:t>7、</w:t>
            </w:r>
            <w:r>
              <w:rPr>
                <w:rFonts w:hint="eastAsia" w:ascii="微软雅黑" w:hAnsi="微软雅黑" w:eastAsia="微软雅黑"/>
                <w:b/>
                <w:bCs/>
                <w:sz w:val="18"/>
                <w:szCs w:val="18"/>
                <w:u w:val="single"/>
              </w:rPr>
              <w:t xml:space="preserve">春航普通经济座旅客免费行李额为 </w:t>
            </w:r>
            <w:r>
              <w:rPr>
                <w:rFonts w:hint="eastAsia" w:ascii="微软雅黑" w:hAnsi="微软雅黑" w:eastAsia="微软雅黑"/>
                <w:b/>
                <w:bCs/>
                <w:sz w:val="18"/>
                <w:szCs w:val="18"/>
                <w:highlight w:val="yellow"/>
                <w:u w:val="single"/>
              </w:rPr>
              <w:t>7KG手提行李，赠送10KG托运行李额，</w:t>
            </w:r>
            <w:r>
              <w:rPr>
                <w:rFonts w:hint="eastAsia" w:ascii="微软雅黑" w:hAnsi="微软雅黑" w:eastAsia="微软雅黑"/>
                <w:b/>
                <w:bCs/>
                <w:sz w:val="18"/>
                <w:szCs w:val="18"/>
                <w:u w:val="single"/>
              </w:rPr>
              <w:t>超重部分需支付逾重行李费,每公斤按国家公布的经济舱全票价的 1.5%计算。每位旅客带入客舱的非托运行李（包括自理行李和随身携带物品）仅限一件，重量不应超过7公斤，尺寸不应超过20厘米×30厘米×40厘米。</w:t>
            </w:r>
          </w:p>
          <w:p w14:paraId="07AA04C5">
            <w:pPr>
              <w:spacing w:line="320" w:lineRule="exact"/>
              <w:rPr>
                <w:rFonts w:ascii="微软雅黑" w:hAnsi="微软雅黑" w:eastAsia="微软雅黑"/>
                <w:b/>
                <w:bCs/>
                <w:sz w:val="18"/>
                <w:szCs w:val="18"/>
                <w:u w:val="single"/>
              </w:rPr>
            </w:pPr>
            <w:r>
              <w:rPr>
                <w:rFonts w:hint="eastAsia" w:ascii="微软雅黑" w:hAnsi="微软雅黑" w:eastAsia="微软雅黑"/>
                <w:bCs/>
                <w:sz w:val="18"/>
                <w:szCs w:val="18"/>
                <w:u w:val="single"/>
              </w:rPr>
              <w:t>8</w:t>
            </w:r>
            <w:r>
              <w:rPr>
                <w:rFonts w:hint="eastAsia" w:ascii="微软雅黑" w:hAnsi="微软雅黑" w:eastAsia="微软雅黑"/>
                <w:b/>
                <w:sz w:val="18"/>
                <w:szCs w:val="18"/>
                <w:u w:val="single"/>
              </w:rPr>
              <w:t>、</w:t>
            </w:r>
            <w:r>
              <w:rPr>
                <w:rFonts w:hint="eastAsia" w:ascii="微软雅黑" w:hAnsi="微软雅黑" w:eastAsia="微软雅黑"/>
                <w:bCs/>
                <w:sz w:val="18"/>
                <w:szCs w:val="18"/>
                <w:u w:val="single"/>
              </w:rPr>
              <w:t>为满足广州出港航班保障需求，并结合广州机场要求，决定自2016年11月15日早出港起，对广州出港的国际航班值机、登机口关闭时间进行调整，国际出港航班值机办理截止时间由航班起飞前45分钟调整为60分钟；登机口关闭时间调整为航班起飞前20分钟。12月1日全面实施此方案。</w:t>
            </w:r>
          </w:p>
          <w:p w14:paraId="5B7F3BD4">
            <w:pPr>
              <w:spacing w:line="320" w:lineRule="exact"/>
              <w:rPr>
                <w:rFonts w:ascii="微软雅黑" w:hAnsi="微软雅黑" w:eastAsia="微软雅黑"/>
                <w:bCs/>
                <w:sz w:val="18"/>
                <w:szCs w:val="18"/>
              </w:rPr>
            </w:pPr>
            <w:r>
              <w:rPr>
                <w:rFonts w:hint="eastAsia" w:ascii="微软雅黑" w:hAnsi="微软雅黑" w:eastAsia="微软雅黑"/>
                <w:bCs/>
                <w:sz w:val="18"/>
                <w:szCs w:val="18"/>
              </w:rPr>
              <w:t>9、客人必须全程随团队旅游，确需离团自行活动者，应到当团领队处办理手续，</w:t>
            </w:r>
            <w:r>
              <w:rPr>
                <w:rFonts w:hint="eastAsia" w:ascii="微软雅黑" w:hAnsi="微软雅黑" w:eastAsia="微软雅黑"/>
                <w:bCs/>
                <w:sz w:val="18"/>
                <w:szCs w:val="18"/>
                <w:highlight w:val="yellow"/>
                <w:u w:val="single"/>
                <w:shd w:val="pct10" w:color="auto" w:fill="FFFFFF"/>
              </w:rPr>
              <w:t>离团费1000元/天/人</w:t>
            </w:r>
            <w:r>
              <w:rPr>
                <w:rFonts w:hint="eastAsia" w:ascii="微软雅黑" w:hAnsi="微软雅黑" w:eastAsia="微软雅黑"/>
                <w:bCs/>
                <w:sz w:val="18"/>
                <w:szCs w:val="18"/>
                <w:highlight w:val="yellow"/>
              </w:rPr>
              <w:t>。</w:t>
            </w:r>
          </w:p>
          <w:p w14:paraId="133B8622">
            <w:pPr>
              <w:spacing w:line="320" w:lineRule="exact"/>
              <w:rPr>
                <w:rFonts w:ascii="微软雅黑" w:hAnsi="微软雅黑" w:eastAsia="微软雅黑"/>
                <w:bCs/>
                <w:color w:val="FF0000"/>
                <w:sz w:val="18"/>
                <w:szCs w:val="18"/>
              </w:rPr>
            </w:pPr>
            <w:r>
              <w:rPr>
                <w:rFonts w:hint="eastAsia" w:ascii="微软雅黑" w:hAnsi="微软雅黑" w:eastAsia="微软雅黑"/>
                <w:bCs/>
                <w:sz w:val="18"/>
                <w:szCs w:val="18"/>
              </w:rPr>
              <w:t>10、</w:t>
            </w:r>
            <w:r>
              <w:rPr>
                <w:rFonts w:hint="eastAsia" w:ascii="微软雅黑" w:hAnsi="微软雅黑" w:eastAsia="微软雅黑"/>
                <w:b/>
                <w:color w:val="FF0000"/>
                <w:sz w:val="18"/>
                <w:szCs w:val="18"/>
              </w:rPr>
              <w:t>根据泰国《移民法》规定，入境泰国的外国人应随身携带2.5万泰铢或等值的外币，作为在泰国期间的基本生活费。中国大使馆特提醒游客，访问泰国时按规定准备充足现金备查(人民币约五千元)，以免给行程带来不必要的麻烦。</w:t>
            </w:r>
          </w:p>
          <w:p w14:paraId="3EDB44A7">
            <w:pPr>
              <w:spacing w:line="320" w:lineRule="exact"/>
              <w:rPr>
                <w:rFonts w:ascii="微软雅黑" w:hAnsi="微软雅黑" w:eastAsia="微软雅黑"/>
                <w:bCs/>
                <w:sz w:val="18"/>
                <w:szCs w:val="18"/>
              </w:rPr>
            </w:pPr>
            <w:r>
              <w:rPr>
                <w:rFonts w:hint="eastAsia" w:ascii="微软雅黑" w:hAnsi="微软雅黑" w:eastAsia="微软雅黑"/>
                <w:bCs/>
                <w:sz w:val="18"/>
                <w:szCs w:val="18"/>
              </w:rPr>
              <w:t>11、本行程不接受未成年人单独报名，必须有成年人同行或提供家长同意书方可报名；</w:t>
            </w:r>
          </w:p>
          <w:p w14:paraId="395BF1BA">
            <w:pPr>
              <w:spacing w:line="320" w:lineRule="exact"/>
              <w:rPr>
                <w:rFonts w:ascii="微软雅黑" w:hAnsi="微软雅黑" w:eastAsia="微软雅黑"/>
                <w:bCs/>
                <w:sz w:val="18"/>
                <w:szCs w:val="18"/>
              </w:rPr>
            </w:pPr>
            <w:r>
              <w:rPr>
                <w:rFonts w:hint="eastAsia" w:ascii="微软雅黑" w:hAnsi="微软雅黑" w:eastAsia="微软雅黑"/>
                <w:bCs/>
                <w:sz w:val="18"/>
                <w:szCs w:val="18"/>
              </w:rPr>
              <w:t>12、</w:t>
            </w:r>
            <w:r>
              <w:rPr>
                <w:rFonts w:hint="eastAsia" w:ascii="微软雅黑" w:hAnsi="微软雅黑" w:eastAsia="微软雅黑"/>
                <w:b/>
                <w:bCs/>
                <w:sz w:val="18"/>
                <w:szCs w:val="18"/>
                <w:highlight w:val="yellow"/>
              </w:rPr>
              <w:t>因接待条件有限，不接受孕妇及</w:t>
            </w:r>
            <w:r>
              <w:rPr>
                <w:rFonts w:hint="eastAsia" w:ascii="微软雅黑" w:hAnsi="微软雅黑" w:eastAsia="微软雅黑"/>
                <w:b/>
                <w:bCs/>
                <w:sz w:val="18"/>
                <w:szCs w:val="18"/>
                <w:highlight w:val="yellow"/>
                <w:lang w:val="en-US" w:eastAsia="zh-CN"/>
              </w:rPr>
              <w:t>75</w:t>
            </w:r>
            <w:r>
              <w:rPr>
                <w:rFonts w:hint="eastAsia" w:ascii="微软雅黑" w:hAnsi="微软雅黑" w:eastAsia="微软雅黑"/>
                <w:b/>
                <w:bCs/>
                <w:sz w:val="18"/>
                <w:szCs w:val="18"/>
                <w:highlight w:val="yellow"/>
              </w:rPr>
              <w:t>岁</w:t>
            </w:r>
            <w:r>
              <w:rPr>
                <w:rFonts w:hint="eastAsia" w:ascii="微软雅黑" w:hAnsi="微软雅黑" w:eastAsia="微软雅黑"/>
                <w:b/>
                <w:bCs/>
                <w:sz w:val="18"/>
                <w:szCs w:val="18"/>
                <w:highlight w:val="yellow"/>
                <w:lang w:eastAsia="zh-CN"/>
              </w:rPr>
              <w:t>（</w:t>
            </w:r>
            <w:r>
              <w:rPr>
                <w:rFonts w:hint="eastAsia" w:ascii="微软雅黑" w:hAnsi="微软雅黑" w:eastAsia="微软雅黑"/>
                <w:b/>
                <w:bCs/>
                <w:sz w:val="18"/>
                <w:szCs w:val="18"/>
                <w:highlight w:val="yellow"/>
                <w:lang w:val="en-US" w:eastAsia="zh-CN"/>
              </w:rPr>
              <w:t>按年份</w:t>
            </w:r>
            <w:r>
              <w:rPr>
                <w:rFonts w:hint="eastAsia" w:ascii="微软雅黑" w:hAnsi="微软雅黑" w:eastAsia="微软雅黑"/>
                <w:b/>
                <w:bCs/>
                <w:sz w:val="18"/>
                <w:szCs w:val="18"/>
                <w:highlight w:val="yellow"/>
                <w:lang w:eastAsia="zh-CN"/>
              </w:rPr>
              <w:t>）</w:t>
            </w:r>
            <w:r>
              <w:rPr>
                <w:rFonts w:hint="eastAsia" w:ascii="微软雅黑" w:hAnsi="微软雅黑" w:eastAsia="微软雅黑"/>
                <w:b/>
                <w:bCs/>
                <w:sz w:val="18"/>
                <w:szCs w:val="18"/>
                <w:highlight w:val="yellow"/>
              </w:rPr>
              <w:t>以上人士报名；</w:t>
            </w:r>
          </w:p>
          <w:p w14:paraId="3F46802E">
            <w:pPr>
              <w:spacing w:line="320" w:lineRule="exact"/>
              <w:rPr>
                <w:rFonts w:ascii="微软雅黑" w:hAnsi="微软雅黑" w:eastAsia="微软雅黑"/>
                <w:bCs/>
                <w:sz w:val="18"/>
                <w:szCs w:val="18"/>
              </w:rPr>
            </w:pPr>
            <w:r>
              <w:rPr>
                <w:rFonts w:hint="eastAsia" w:ascii="微软雅黑" w:hAnsi="微软雅黑" w:eastAsia="微软雅黑"/>
                <w:bCs/>
                <w:sz w:val="18"/>
                <w:szCs w:val="18"/>
              </w:rPr>
              <w:t xml:space="preserve">1）乙方有权根据甲方年龄、健康、身体状况（包括怀孕）的相关情况等选择是否接受甲方报名参团。若甲方参加高原地区旅游或风险旅游项目（包括但不限于：游泳、浮潜、冲浪、漂流等水上活动以及骑马、攀岩、登山等高风险的活动）或身体状况可能不适宜出行旅游的（包括但不限于：传染性疾病、身体残疾、精神疾病、怀孕、癫痫、恶性肿瘤、心血管病、高血压、呼吸系统疾病、糖尿病、慢性疾病健康受损），须在报名前自行前往医疗机构体检后，确保自身身体条件能够完成本次旅游活动。乙方已经给予甲方出游安全提示，并已进行劝阻，但如甲方仍坚持参加旅游活动，由此造成任何人身意外及不良后果将由甲方本人全部承担。 </w:t>
            </w:r>
          </w:p>
          <w:p w14:paraId="73540294">
            <w:pPr>
              <w:spacing w:line="320" w:lineRule="exact"/>
              <w:rPr>
                <w:rFonts w:ascii="微软雅黑" w:hAnsi="微软雅黑" w:eastAsia="微软雅黑"/>
                <w:bCs/>
                <w:sz w:val="18"/>
                <w:szCs w:val="18"/>
              </w:rPr>
            </w:pPr>
            <w:r>
              <w:rPr>
                <w:rFonts w:hint="eastAsia" w:ascii="微软雅黑" w:hAnsi="微软雅黑" w:eastAsia="微软雅黑"/>
                <w:bCs/>
                <w:sz w:val="18"/>
                <w:szCs w:val="18"/>
              </w:rPr>
              <w:t>2)甲方须保证提供的身体健康状况真实，如有隐瞒，乙方有权按甲方退团处理，并由甲方承担全部责任（包括但不限于退团扣费、在行程中因此造成的任何人身意外及不良后果）。若甲方在报名后发现怀孕的，甲方必须尽快通知乙方，乙方有权按甲方退团处理，所交团费扣除已发生的费用后，剩余部分退回甲方。</w:t>
            </w:r>
          </w:p>
          <w:p w14:paraId="67ED41AD">
            <w:pPr>
              <w:spacing w:line="320" w:lineRule="exact"/>
              <w:rPr>
                <w:rFonts w:ascii="微软雅黑" w:hAnsi="微软雅黑" w:eastAsia="微软雅黑"/>
                <w:bCs/>
                <w:sz w:val="18"/>
                <w:szCs w:val="18"/>
              </w:rPr>
            </w:pPr>
            <w:r>
              <w:rPr>
                <w:rFonts w:hint="eastAsia" w:ascii="微软雅黑" w:hAnsi="微软雅黑" w:eastAsia="微软雅黑"/>
                <w:bCs/>
                <w:sz w:val="18"/>
                <w:szCs w:val="18"/>
              </w:rPr>
              <w:t>●东南亚酒店没有官方公布的星级标准，没有挂星制度。所涉及酒店的档次基本以房的装修为标准, 普遍比国内略差一点。</w:t>
            </w:r>
          </w:p>
          <w:p w14:paraId="01B9E035">
            <w:pPr>
              <w:spacing w:line="320" w:lineRule="exact"/>
              <w:rPr>
                <w:rFonts w:ascii="微软雅黑" w:hAnsi="微软雅黑" w:eastAsia="微软雅黑"/>
                <w:bCs/>
                <w:sz w:val="18"/>
                <w:szCs w:val="18"/>
              </w:rPr>
            </w:pPr>
            <w:r>
              <w:rPr>
                <w:rFonts w:hint="eastAsia" w:ascii="微软雅黑" w:hAnsi="微软雅黑" w:eastAsia="微软雅黑"/>
                <w:bCs/>
                <w:sz w:val="18"/>
                <w:szCs w:val="18"/>
              </w:rPr>
              <w:t>●任何非官方网站所公布的酒店星级档次，是属于该网站自己的评估标准，不代表该酒店的真实档次或星级。</w:t>
            </w:r>
          </w:p>
          <w:p w14:paraId="673BB693">
            <w:pPr>
              <w:spacing w:line="320" w:lineRule="exact"/>
              <w:rPr>
                <w:rFonts w:ascii="微软雅黑" w:hAnsi="微软雅黑" w:eastAsia="微软雅黑"/>
                <w:bCs/>
                <w:sz w:val="18"/>
                <w:szCs w:val="18"/>
              </w:rPr>
            </w:pPr>
            <w:r>
              <w:rPr>
                <w:rFonts w:hint="eastAsia" w:ascii="微软雅黑" w:hAnsi="微软雅黑" w:eastAsia="微软雅黑"/>
                <w:bCs/>
                <w:sz w:val="18"/>
                <w:szCs w:val="18"/>
              </w:rPr>
              <w:t>●行程中的购物点安排，是行业公会认定合法购物商店，客人自愿消费。</w:t>
            </w:r>
          </w:p>
          <w:p w14:paraId="75F633B1">
            <w:pPr>
              <w:rPr>
                <w:rFonts w:hint="eastAsia" w:ascii="微软雅黑" w:hAnsi="微软雅黑" w:eastAsia="微软雅黑"/>
                <w:bCs/>
                <w:sz w:val="18"/>
                <w:szCs w:val="18"/>
              </w:rPr>
            </w:pPr>
            <w:r>
              <w:rPr>
                <w:rFonts w:hint="eastAsia" w:ascii="微软雅黑" w:hAnsi="微软雅黑" w:eastAsia="微软雅黑"/>
                <w:bCs/>
                <w:sz w:val="18"/>
                <w:szCs w:val="18"/>
              </w:rPr>
              <w:t>13、如因客人自身原因造成机票无法出票或无法出行的，属旅客自身责任，旅行社不承担任何违约责任。客人因此取消行程的，旅行社按旅游合同约定退还部分费用。客人自身原因包括但不限于个人资质（如个人信用等）、身体状况（如怀孕、疾病等）、客人突发意外事件等造成客人不能出行的情况。</w:t>
            </w:r>
          </w:p>
          <w:p w14:paraId="7C64F6C7">
            <w:pPr>
              <w:rPr>
                <w:rFonts w:hint="eastAsia" w:ascii="宋体" w:hAnsi="宋体"/>
                <w:color w:val="000000"/>
                <w:sz w:val="18"/>
                <w:szCs w:val="18"/>
              </w:rPr>
            </w:pPr>
            <w:r>
              <w:rPr>
                <w:rFonts w:hint="eastAsia" w:ascii="宋体" w:hAnsi="宋体"/>
                <w:color w:val="000000"/>
                <w:sz w:val="18"/>
                <w:szCs w:val="18"/>
              </w:rPr>
              <w:t>【敬请关注出行提示，重视出游安全】。密切关注旅游、外交等有关部门发布的出行提示，了解目的地天气、卫生、交通和社会治安情况，提前评估旅行风险，谨慎或暂勿前往恐怖袭击频发、政局动荡不稳或发生重大疫情、自然灾害的国家和地区。</w:t>
            </w:r>
          </w:p>
        </w:tc>
      </w:tr>
      <w:tr w14:paraId="31E88742">
        <w:tblPrEx>
          <w:tblBorders>
            <w:top w:val="single" w:color="7B7B7B" w:themeColor="accent3" w:themeShade="BF" w:sz="8" w:space="0"/>
            <w:left w:val="single" w:color="7B7B7B" w:themeColor="accent3" w:themeShade="BF" w:sz="8" w:space="0"/>
            <w:bottom w:val="single" w:color="7B7B7B" w:themeColor="accent3" w:themeShade="BF" w:sz="8" w:space="0"/>
            <w:right w:val="single" w:color="7B7B7B" w:themeColor="accent3" w:themeShade="BF" w:sz="8" w:space="0"/>
            <w:insideH w:val="single" w:color="7B7B7B" w:themeColor="accent3" w:themeShade="BF" w:sz="8" w:space="0"/>
            <w:insideV w:val="single" w:color="7B7B7B" w:themeColor="accent3" w:themeShade="BF" w:sz="8" w:space="0"/>
          </w:tblBorders>
          <w:shd w:val="clear" w:color="auto" w:fill="FFFFFF"/>
          <w:tblCellMar>
            <w:top w:w="0" w:type="dxa"/>
            <w:left w:w="108" w:type="dxa"/>
            <w:bottom w:w="0" w:type="dxa"/>
            <w:right w:w="108" w:type="dxa"/>
          </w:tblCellMar>
        </w:tblPrEx>
        <w:trPr>
          <w:gridAfter w:val="1"/>
          <w:wAfter w:w="322" w:type="dxa"/>
          <w:trHeight w:val="3206" w:hRule="atLeast"/>
          <w:jc w:val="center"/>
        </w:trPr>
        <w:tc>
          <w:tcPr>
            <w:tcW w:w="9720" w:type="dxa"/>
            <w:gridSpan w:val="3"/>
            <w:tcBorders>
              <w:tl2br w:val="nil"/>
              <w:tr2bl w:val="nil"/>
            </w:tcBorders>
            <w:shd w:val="clear" w:color="auto" w:fill="FFFFFF"/>
            <w:noWrap w:val="0"/>
            <w:vAlign w:val="top"/>
          </w:tcPr>
          <w:p w14:paraId="7C760A16">
            <w:pPr>
              <w:rPr>
                <w:rFonts w:hint="eastAsia" w:ascii="宋体" w:hAnsi="宋体"/>
                <w:b/>
                <w:color w:val="000000"/>
                <w:sz w:val="18"/>
                <w:szCs w:val="18"/>
              </w:rPr>
            </w:pPr>
            <w:r>
              <w:rPr>
                <w:rFonts w:hint="eastAsia" w:ascii="宋体" w:hAnsi="宋体"/>
                <w:b/>
                <w:color w:val="000000"/>
                <w:sz w:val="18"/>
                <w:szCs w:val="18"/>
              </w:rPr>
              <w:t>出行警示：</w:t>
            </w:r>
          </w:p>
          <w:p w14:paraId="5B32E43B">
            <w:pPr>
              <w:rPr>
                <w:rFonts w:hint="eastAsia" w:ascii="宋体" w:hAnsi="宋体"/>
                <w:b/>
                <w:color w:val="000000"/>
                <w:sz w:val="18"/>
                <w:szCs w:val="18"/>
              </w:rPr>
            </w:pPr>
            <w:r>
              <w:rPr>
                <w:rFonts w:hint="eastAsia" w:ascii="微软雅黑" w:hAnsi="微软雅黑" w:eastAsia="微软雅黑"/>
                <w:bCs/>
                <w:sz w:val="18"/>
                <w:szCs w:val="18"/>
              </w:rPr>
              <w:t>尊敬的游客：</w:t>
            </w:r>
          </w:p>
          <w:p w14:paraId="40B63BE4">
            <w:pPr>
              <w:spacing w:line="320" w:lineRule="exact"/>
              <w:ind w:firstLine="360" w:firstLineChars="200"/>
              <w:rPr>
                <w:rFonts w:ascii="微软雅黑" w:hAnsi="微软雅黑" w:eastAsia="微软雅黑"/>
                <w:bCs/>
                <w:sz w:val="18"/>
                <w:szCs w:val="18"/>
              </w:rPr>
            </w:pPr>
            <w:r>
              <w:rPr>
                <w:rFonts w:hint="eastAsia" w:ascii="微软雅黑" w:hAnsi="微软雅黑" w:eastAsia="微软雅黑"/>
                <w:bCs/>
                <w:sz w:val="18"/>
                <w:szCs w:val="18"/>
              </w:rPr>
              <w:t>根据国家旅游局《旅行社投保旅行社责任保险规定》的精神，从2001年9月1日起，旅行社将不再统一为旅游者购买旅游意外保险；而旅行社责任保险，只有在旅游过程中由于旅行社的责任（即疏忽或过失）导致游客人身、财物遭受的损害，保险公司才予以赔偿。因此以下三种情况将不获责任保险的赔偿：</w:t>
            </w:r>
          </w:p>
          <w:p w14:paraId="1BDC31E0">
            <w:pPr>
              <w:spacing w:line="320" w:lineRule="exact"/>
              <w:rPr>
                <w:rFonts w:ascii="微软雅黑" w:hAnsi="微软雅黑" w:eastAsia="微软雅黑"/>
                <w:bCs/>
                <w:sz w:val="18"/>
                <w:szCs w:val="18"/>
              </w:rPr>
            </w:pPr>
            <w:r>
              <w:rPr>
                <w:rFonts w:hint="eastAsia" w:ascii="微软雅黑" w:hAnsi="微软雅黑" w:eastAsia="微软雅黑"/>
                <w:bCs/>
                <w:sz w:val="18"/>
                <w:szCs w:val="18"/>
              </w:rPr>
              <w:t>①在旅游行程中，由于游客自身疾病引起的各种损失或损害；</w:t>
            </w:r>
          </w:p>
          <w:p w14:paraId="5016B5FC">
            <w:pPr>
              <w:spacing w:line="320" w:lineRule="exact"/>
              <w:rPr>
                <w:rFonts w:ascii="微软雅黑" w:hAnsi="微软雅黑" w:eastAsia="微软雅黑"/>
                <w:bCs/>
                <w:sz w:val="18"/>
                <w:szCs w:val="18"/>
              </w:rPr>
            </w:pPr>
            <w:r>
              <w:rPr>
                <w:rFonts w:hint="eastAsia" w:ascii="微软雅黑" w:hAnsi="微软雅黑" w:eastAsia="微软雅黑"/>
                <w:bCs/>
                <w:sz w:val="18"/>
                <w:szCs w:val="18"/>
              </w:rPr>
              <w:t>②由于游客个人过错导致的人身伤亡和财产损失，以及由此导致需支出的各种费用；</w:t>
            </w:r>
          </w:p>
          <w:p w14:paraId="57C63416">
            <w:pPr>
              <w:spacing w:line="320" w:lineRule="exact"/>
              <w:rPr>
                <w:rFonts w:ascii="微软雅黑" w:hAnsi="微软雅黑" w:eastAsia="微软雅黑"/>
                <w:bCs/>
                <w:sz w:val="18"/>
                <w:szCs w:val="18"/>
              </w:rPr>
            </w:pPr>
            <w:r>
              <w:rPr>
                <w:rFonts w:hint="eastAsia" w:ascii="微软雅黑" w:hAnsi="微软雅黑" w:eastAsia="微软雅黑"/>
                <w:bCs/>
                <w:sz w:val="18"/>
                <w:szCs w:val="18"/>
              </w:rPr>
              <w:t>③游客在自行终止旅行社的旅游行程后，或在不参加双方约定的活动而自行活动的时间内发生的人身、财产损害。</w:t>
            </w:r>
          </w:p>
          <w:p w14:paraId="33FA3296">
            <w:pPr>
              <w:spacing w:line="320" w:lineRule="exact"/>
              <w:rPr>
                <w:rFonts w:ascii="微软雅黑" w:hAnsi="微软雅黑" w:eastAsia="微软雅黑"/>
                <w:bCs/>
                <w:sz w:val="18"/>
                <w:szCs w:val="18"/>
              </w:rPr>
            </w:pPr>
            <w:r>
              <w:rPr>
                <w:rFonts w:hint="eastAsia" w:ascii="微软雅黑" w:hAnsi="微软雅黑" w:eastAsia="微软雅黑"/>
                <w:bCs/>
                <w:sz w:val="18"/>
                <w:szCs w:val="18"/>
              </w:rPr>
              <w:t>为保障贵客的合法利益，现郑重推荐中国人寿保险公司的旅游意外保险，以获得医疗、意外残疾、紧急救援等五项保障。（详见旅游意外保险单)</w:t>
            </w:r>
          </w:p>
        </w:tc>
      </w:tr>
      <w:tr w14:paraId="4394C2E9">
        <w:tblPrEx>
          <w:tblBorders>
            <w:top w:val="single" w:color="7B7B7B" w:themeColor="accent3" w:themeShade="BF" w:sz="8" w:space="0"/>
            <w:left w:val="single" w:color="7B7B7B" w:themeColor="accent3" w:themeShade="BF" w:sz="8" w:space="0"/>
            <w:bottom w:val="single" w:color="7B7B7B" w:themeColor="accent3" w:themeShade="BF" w:sz="8" w:space="0"/>
            <w:right w:val="single" w:color="7B7B7B" w:themeColor="accent3" w:themeShade="BF" w:sz="8" w:space="0"/>
            <w:insideH w:val="single" w:color="7B7B7B" w:themeColor="accent3" w:themeShade="BF" w:sz="8" w:space="0"/>
            <w:insideV w:val="single" w:color="7B7B7B" w:themeColor="accent3" w:themeShade="BF" w:sz="8" w:space="0"/>
          </w:tblBorders>
          <w:shd w:val="clear" w:color="auto" w:fill="FFFFFF"/>
          <w:tblCellMar>
            <w:top w:w="0" w:type="dxa"/>
            <w:left w:w="108" w:type="dxa"/>
            <w:bottom w:w="0" w:type="dxa"/>
            <w:right w:w="108" w:type="dxa"/>
          </w:tblCellMar>
        </w:tblPrEx>
        <w:trPr>
          <w:gridAfter w:val="1"/>
          <w:wAfter w:w="322" w:type="dxa"/>
          <w:trHeight w:val="394" w:hRule="atLeast"/>
          <w:jc w:val="center"/>
        </w:trPr>
        <w:tc>
          <w:tcPr>
            <w:tcW w:w="9720" w:type="dxa"/>
            <w:gridSpan w:val="3"/>
            <w:tcBorders>
              <w:tl2br w:val="nil"/>
              <w:tr2bl w:val="nil"/>
            </w:tcBorders>
            <w:shd w:val="clear" w:color="auto" w:fill="FFFFFF"/>
            <w:noWrap w:val="0"/>
            <w:vAlign w:val="top"/>
          </w:tcPr>
          <w:p w14:paraId="46628546">
            <w:pPr>
              <w:rPr>
                <w:rFonts w:hint="eastAsia" w:ascii="宋体" w:hAnsi="宋体"/>
                <w:b/>
                <w:color w:val="000000"/>
                <w:sz w:val="18"/>
                <w:szCs w:val="18"/>
              </w:rPr>
            </w:pPr>
            <w:r>
              <w:rPr>
                <w:rFonts w:hint="eastAsia" w:ascii="宋体" w:hAnsi="宋体"/>
                <w:b/>
                <w:color w:val="000000"/>
                <w:sz w:val="18"/>
                <w:szCs w:val="18"/>
              </w:rPr>
              <w:t>特别约定：</w:t>
            </w:r>
          </w:p>
          <w:p w14:paraId="476FC7F4">
            <w:pPr>
              <w:spacing w:line="320" w:lineRule="exact"/>
              <w:rPr>
                <w:rFonts w:ascii="微软雅黑" w:hAnsi="微软雅黑" w:eastAsia="微软雅黑"/>
                <w:bCs/>
                <w:sz w:val="18"/>
                <w:szCs w:val="18"/>
              </w:rPr>
            </w:pPr>
            <w:r>
              <w:rPr>
                <w:rFonts w:hint="eastAsia" w:ascii="微软雅黑" w:hAnsi="微软雅黑" w:eastAsia="微软雅黑"/>
                <w:bCs/>
                <w:sz w:val="18"/>
                <w:szCs w:val="18"/>
              </w:rPr>
              <w:t>1、强烈建议出行游客购买个人旅游意外保险。具体保险险种请在报名时向销售人员咨询并购买，出行时请将该保单资料随身携带。</w:t>
            </w:r>
          </w:p>
          <w:p w14:paraId="7AD9F369">
            <w:pPr>
              <w:spacing w:line="320" w:lineRule="exact"/>
              <w:rPr>
                <w:rFonts w:ascii="微软雅黑" w:hAnsi="微软雅黑" w:eastAsia="微软雅黑"/>
                <w:bCs/>
                <w:sz w:val="18"/>
                <w:szCs w:val="18"/>
              </w:rPr>
            </w:pPr>
            <w:r>
              <w:rPr>
                <w:rFonts w:hint="eastAsia" w:ascii="微软雅黑" w:hAnsi="微软雅黑" w:eastAsia="微软雅黑"/>
                <w:bCs/>
                <w:sz w:val="18"/>
                <w:szCs w:val="18"/>
              </w:rPr>
              <w:t>2、本线路含有出海或者海上活动等高风险性游乐项目，敬请客人务必在参加前充分了解项目的安全须知并确保身体状况能适应此类活动，如非旅行社责任造成的客人意外伤害，旅行社不承担相应的赔偿责任。</w:t>
            </w:r>
          </w:p>
          <w:p w14:paraId="3F18E7F0">
            <w:pPr>
              <w:spacing w:line="320" w:lineRule="exact"/>
              <w:rPr>
                <w:rFonts w:ascii="微软雅黑" w:hAnsi="微软雅黑" w:eastAsia="微软雅黑"/>
                <w:bCs/>
                <w:sz w:val="18"/>
                <w:szCs w:val="18"/>
              </w:rPr>
            </w:pPr>
            <w:r>
              <w:rPr>
                <w:rFonts w:hint="eastAsia" w:ascii="微软雅黑" w:hAnsi="微软雅黑" w:eastAsia="微软雅黑"/>
                <w:bCs/>
                <w:sz w:val="18"/>
                <w:szCs w:val="18"/>
              </w:rPr>
              <w:t>3、年龄未满18岁或超过65岁的团友由于体质问题不适合参加泰式按摩活动，可以选择在按摩中心休息，另视为放弃古法按摩，则不能将该项服务转让他人或要求退款。</w:t>
            </w:r>
          </w:p>
          <w:p w14:paraId="1A37F2A5">
            <w:pPr>
              <w:spacing w:line="320" w:lineRule="exact"/>
              <w:rPr>
                <w:rFonts w:hint="eastAsia" w:ascii="微软雅黑" w:hAnsi="微软雅黑"/>
                <w:bCs/>
                <w:sz w:val="18"/>
                <w:szCs w:val="18"/>
              </w:rPr>
            </w:pPr>
            <w:r>
              <w:rPr>
                <w:rFonts w:hint="eastAsia" w:ascii="微软雅黑" w:hAnsi="微软雅黑" w:eastAsia="微软雅黑"/>
                <w:bCs/>
                <w:sz w:val="18"/>
                <w:szCs w:val="18"/>
              </w:rPr>
              <w:t>4、旅客信息请务必填写正确，因客人原因填写错误产生的责任及费用，需由客人自行承担。</w:t>
            </w:r>
          </w:p>
          <w:p w14:paraId="6DBF0FB6">
            <w:pPr>
              <w:spacing w:line="320" w:lineRule="exact"/>
              <w:rPr>
                <w:rFonts w:hint="eastAsia" w:ascii="微软雅黑" w:hAnsi="微软雅黑"/>
                <w:bCs/>
                <w:color w:val="FF0000"/>
                <w:sz w:val="18"/>
                <w:szCs w:val="18"/>
                <w:lang w:val="en-US" w:eastAsia="zh-CN"/>
              </w:rPr>
            </w:pPr>
            <w:r>
              <w:rPr>
                <w:rFonts w:hint="eastAsia" w:ascii="微软雅黑" w:hAnsi="微软雅黑"/>
                <w:bCs/>
                <w:color w:val="FF0000"/>
                <w:sz w:val="18"/>
                <w:szCs w:val="18"/>
                <w:lang w:val="en-US" w:eastAsia="zh-CN"/>
              </w:rPr>
              <w:t>注：</w:t>
            </w:r>
          </w:p>
          <w:p w14:paraId="466105A8">
            <w:pPr>
              <w:spacing w:line="320" w:lineRule="exact"/>
              <w:rPr>
                <w:rFonts w:hint="eastAsia" w:ascii="微软雅黑" w:hAnsi="微软雅黑"/>
                <w:bCs/>
                <w:color w:val="FF0000"/>
                <w:sz w:val="18"/>
                <w:szCs w:val="18"/>
                <w:lang w:val="en-US" w:eastAsia="zh-CN"/>
              </w:rPr>
            </w:pPr>
            <w:r>
              <w:rPr>
                <w:rFonts w:hint="eastAsia" w:ascii="微软雅黑" w:hAnsi="微软雅黑"/>
                <w:bCs/>
                <w:color w:val="FF0000"/>
                <w:sz w:val="18"/>
                <w:szCs w:val="18"/>
                <w:lang w:val="en-US" w:eastAsia="zh-CN"/>
              </w:rPr>
              <w:t>1、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w:t>
            </w:r>
          </w:p>
          <w:p w14:paraId="046809B8">
            <w:pPr>
              <w:spacing w:line="320" w:lineRule="exact"/>
              <w:rPr>
                <w:rFonts w:hint="eastAsia" w:ascii="微软雅黑" w:hAnsi="微软雅黑"/>
                <w:bCs/>
                <w:color w:val="FF0000"/>
                <w:sz w:val="18"/>
                <w:szCs w:val="18"/>
                <w:lang w:val="en-US" w:eastAsia="zh-CN"/>
              </w:rPr>
            </w:pPr>
            <w:r>
              <w:rPr>
                <w:rFonts w:hint="eastAsia" w:ascii="微软雅黑" w:hAnsi="微软雅黑"/>
                <w:bCs/>
                <w:color w:val="FF0000"/>
                <w:sz w:val="18"/>
                <w:szCs w:val="18"/>
                <w:lang w:val="en-US" w:eastAsia="zh-CN"/>
              </w:rPr>
              <w:t>2、如游客违反告知义务，需自行承担旅游不能成行、购机票款不能退回的损失（包括因占位虚耗机位未能出票的机票全款损失）旅行社将按照旅游法规定退款。游客违反告知义务，若导致航空公司取消全团旅客座位，将承担其他游客购票损失及不能按时出行之损失的赔偿责任。国家法院失信人验证网站为http://shixin.court.gov.cn</w:t>
            </w:r>
          </w:p>
          <w:p w14:paraId="586FACC3">
            <w:pPr>
              <w:spacing w:line="320" w:lineRule="exact"/>
              <w:rPr>
                <w:rFonts w:hint="eastAsia" w:ascii="微软雅黑" w:hAnsi="微软雅黑" w:eastAsia="宋体"/>
                <w:bCs/>
                <w:sz w:val="18"/>
                <w:szCs w:val="18"/>
                <w:lang w:eastAsia="zh-CN"/>
              </w:rPr>
            </w:pPr>
            <w:r>
              <w:rPr>
                <w:rFonts w:hint="eastAsia" w:ascii="微软雅黑" w:hAnsi="微软雅黑"/>
                <w:bCs/>
                <w:color w:val="FF0000"/>
                <w:sz w:val="18"/>
                <w:szCs w:val="18"/>
                <w:lang w:val="en-US" w:eastAsia="zh-CN"/>
              </w:rPr>
              <w:t>3、如除上述外，客人因其他自身原因造成机票无法出票或无法出行的，属旅客自身责任，旅行社不承担任何违约责任。客人因此取消行程的，旅行社按旅游法规定退还部分费用。客人其他自身原因包括但不限于身体状况（如怀孕、疾病等）、客人突发意外事件等造成客人不能出行的情况。</w:t>
            </w:r>
          </w:p>
        </w:tc>
      </w:tr>
      <w:tr w14:paraId="397BC35A">
        <w:tblPrEx>
          <w:tblBorders>
            <w:top w:val="single" w:color="7B7B7B" w:themeColor="accent3" w:themeShade="BF" w:sz="8" w:space="0"/>
            <w:left w:val="single" w:color="7B7B7B" w:themeColor="accent3" w:themeShade="BF" w:sz="8" w:space="0"/>
            <w:bottom w:val="single" w:color="7B7B7B" w:themeColor="accent3" w:themeShade="BF" w:sz="8" w:space="0"/>
            <w:right w:val="single" w:color="7B7B7B" w:themeColor="accent3" w:themeShade="BF" w:sz="8" w:space="0"/>
            <w:insideH w:val="single" w:color="7B7B7B" w:themeColor="accent3" w:themeShade="BF" w:sz="8" w:space="0"/>
            <w:insideV w:val="single" w:color="7B7B7B" w:themeColor="accent3" w:themeShade="BF" w:sz="8" w:space="0"/>
          </w:tblBorders>
          <w:shd w:val="clear" w:color="auto" w:fill="FFFFFF"/>
          <w:tblCellMar>
            <w:top w:w="0" w:type="dxa"/>
            <w:left w:w="108" w:type="dxa"/>
            <w:bottom w:w="0" w:type="dxa"/>
            <w:right w:w="108" w:type="dxa"/>
          </w:tblCellMar>
        </w:tblPrEx>
        <w:trPr>
          <w:gridAfter w:val="1"/>
          <w:wAfter w:w="322" w:type="dxa"/>
          <w:trHeight w:val="342" w:hRule="atLeast"/>
          <w:jc w:val="center"/>
        </w:trPr>
        <w:tc>
          <w:tcPr>
            <w:tcW w:w="9720" w:type="dxa"/>
            <w:gridSpan w:val="3"/>
            <w:tcBorders>
              <w:tl2br w:val="nil"/>
              <w:tr2bl w:val="nil"/>
            </w:tcBorders>
            <w:shd w:val="clear" w:color="auto" w:fill="FFFFFF"/>
            <w:noWrap w:val="0"/>
            <w:vAlign w:val="top"/>
          </w:tcPr>
          <w:p w14:paraId="372260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6" w:beforeLines="50" w:line="400" w:lineRule="exact"/>
              <w:jc w:val="center"/>
              <w:textAlignment w:val="baseline"/>
              <w:rPr>
                <w:rFonts w:ascii="微软雅黑" w:hAnsi="微软雅黑" w:eastAsia="微软雅黑" w:cs="宋体"/>
                <w:color w:val="A0256D"/>
                <w:kern w:val="0"/>
                <w:sz w:val="44"/>
                <w:szCs w:val="44"/>
              </w:rPr>
            </w:pPr>
            <w:r>
              <w:rPr>
                <w:rFonts w:hint="eastAsia" w:ascii="微软雅黑" w:hAnsi="微软雅黑" w:eastAsia="微软雅黑" w:cs="宋体"/>
                <w:color w:val="A0256D"/>
                <w:kern w:val="0"/>
                <w:sz w:val="44"/>
                <w:szCs w:val="44"/>
              </w:rPr>
              <w:t>确认书</w:t>
            </w:r>
          </w:p>
          <w:tbl>
            <w:tblPr>
              <w:tblStyle w:val="6"/>
              <w:tblpPr w:leftFromText="180" w:rightFromText="180" w:vertAnchor="text" w:horzAnchor="margin" w:tblpX="250" w:tblpY="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7"/>
              <w:gridCol w:w="6263"/>
              <w:gridCol w:w="1434"/>
            </w:tblGrid>
            <w:tr w14:paraId="76F0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34" w:type="dxa"/>
                  <w:gridSpan w:val="3"/>
                  <w:tcBorders>
                    <w:top w:val="single" w:color="auto" w:sz="4" w:space="0"/>
                    <w:left w:val="single" w:color="auto" w:sz="4" w:space="0"/>
                    <w:bottom w:val="single" w:color="auto" w:sz="4" w:space="0"/>
                    <w:right w:val="single" w:color="auto" w:sz="4" w:space="0"/>
                  </w:tcBorders>
                  <w:noWrap w:val="0"/>
                  <w:vAlign w:val="center"/>
                </w:tcPr>
                <w:p w14:paraId="610FF12A">
                  <w:pPr>
                    <w:pStyle w:val="4"/>
                    <w:adjustRightInd w:val="0"/>
                    <w:snapToGrid w:val="0"/>
                    <w:spacing w:before="156" w:after="156"/>
                    <w:ind w:firstLine="480"/>
                    <w:jc w:val="both"/>
                    <w:rPr>
                      <w:rFonts w:ascii="微软雅黑" w:hAnsi="微软雅黑" w:eastAsia="微软雅黑"/>
                      <w:bCs/>
                      <w:kern w:val="2"/>
                      <w:sz w:val="18"/>
                      <w:szCs w:val="18"/>
                    </w:rPr>
                  </w:pPr>
                  <w:r>
                    <w:rPr>
                      <w:rFonts w:hint="eastAsia" w:ascii="微软雅黑" w:hAnsi="微软雅黑" w:eastAsia="微软雅黑"/>
                      <w:bCs/>
                      <w:kern w:val="2"/>
                      <w:sz w:val="18"/>
                      <w:szCs w:val="18"/>
                    </w:rPr>
                    <w:t>在旅游行程安排的自由活动时间，客人同意选择前往如下购物场所：</w:t>
                  </w:r>
                </w:p>
                <w:p w14:paraId="5E4F7829">
                  <w:pPr>
                    <w:spacing w:before="120" w:after="120" w:line="300" w:lineRule="auto"/>
                    <w:ind w:firstLine="482"/>
                    <w:rPr>
                      <w:rFonts w:ascii="微软雅黑" w:hAnsi="微软雅黑" w:eastAsia="微软雅黑"/>
                      <w:bCs/>
                      <w:sz w:val="18"/>
                      <w:szCs w:val="18"/>
                    </w:rPr>
                  </w:pPr>
                  <w:r>
                    <w:rPr>
                      <w:rFonts w:hint="eastAsia" w:ascii="微软雅黑" w:hAnsi="微软雅黑" w:eastAsia="微软雅黑"/>
                      <w:bCs/>
                      <w:sz w:val="18"/>
                      <w:szCs w:val="18"/>
                    </w:rPr>
                    <w:t>一、购物场所：</w:t>
                  </w:r>
                </w:p>
              </w:tc>
            </w:tr>
            <w:tr w14:paraId="1B64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937" w:type="dxa"/>
                  <w:tcBorders>
                    <w:top w:val="single" w:color="auto" w:sz="4" w:space="0"/>
                    <w:left w:val="single" w:color="auto" w:sz="4" w:space="0"/>
                    <w:bottom w:val="single" w:color="auto" w:sz="4" w:space="0"/>
                    <w:right w:val="single" w:color="auto" w:sz="4" w:space="0"/>
                  </w:tcBorders>
                  <w:noWrap w:val="0"/>
                  <w:vAlign w:val="center"/>
                </w:tcPr>
                <w:p w14:paraId="5B7D3052">
                  <w:pPr>
                    <w:spacing w:before="120" w:after="120" w:line="360" w:lineRule="auto"/>
                    <w:ind w:firstLine="360"/>
                    <w:jc w:val="center"/>
                    <w:rPr>
                      <w:rFonts w:ascii="微软雅黑" w:hAnsi="微软雅黑" w:eastAsia="微软雅黑"/>
                      <w:bCs/>
                      <w:sz w:val="18"/>
                      <w:szCs w:val="18"/>
                    </w:rPr>
                  </w:pPr>
                  <w:r>
                    <w:rPr>
                      <w:rFonts w:hint="eastAsia" w:ascii="微软雅黑" w:hAnsi="微软雅黑" w:eastAsia="微软雅黑"/>
                      <w:bCs/>
                      <w:sz w:val="18"/>
                      <w:szCs w:val="18"/>
                    </w:rPr>
                    <w:t>名称</w:t>
                  </w:r>
                </w:p>
              </w:tc>
              <w:tc>
                <w:tcPr>
                  <w:tcW w:w="6263" w:type="dxa"/>
                  <w:tcBorders>
                    <w:top w:val="single" w:color="auto" w:sz="4" w:space="0"/>
                    <w:left w:val="single" w:color="auto" w:sz="4" w:space="0"/>
                    <w:bottom w:val="single" w:color="auto" w:sz="4" w:space="0"/>
                    <w:right w:val="single" w:color="auto" w:sz="4" w:space="0"/>
                  </w:tcBorders>
                  <w:noWrap w:val="0"/>
                  <w:vAlign w:val="center"/>
                </w:tcPr>
                <w:p w14:paraId="30E5547F">
                  <w:pPr>
                    <w:spacing w:before="120" w:after="120" w:line="360" w:lineRule="auto"/>
                    <w:ind w:firstLine="360"/>
                    <w:jc w:val="center"/>
                    <w:rPr>
                      <w:rFonts w:ascii="微软雅黑" w:hAnsi="微软雅黑" w:eastAsia="微软雅黑"/>
                      <w:bCs/>
                      <w:sz w:val="18"/>
                      <w:szCs w:val="18"/>
                    </w:rPr>
                  </w:pPr>
                  <w:r>
                    <w:rPr>
                      <w:rFonts w:hint="eastAsia" w:ascii="微软雅黑" w:hAnsi="微软雅黑" w:eastAsia="微软雅黑"/>
                      <w:bCs/>
                      <w:sz w:val="18"/>
                      <w:szCs w:val="18"/>
                    </w:rPr>
                    <w:t>简介（主要商品种类、特色等）</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792F08BA">
                  <w:pPr>
                    <w:spacing w:before="120" w:after="120" w:line="360" w:lineRule="auto"/>
                    <w:rPr>
                      <w:rFonts w:ascii="微软雅黑" w:hAnsi="微软雅黑" w:eastAsia="微软雅黑"/>
                      <w:bCs/>
                      <w:sz w:val="18"/>
                      <w:szCs w:val="18"/>
                    </w:rPr>
                  </w:pPr>
                  <w:r>
                    <w:rPr>
                      <w:rFonts w:hint="eastAsia" w:ascii="微软雅黑" w:hAnsi="微软雅黑" w:eastAsia="微软雅黑"/>
                      <w:bCs/>
                      <w:sz w:val="18"/>
                      <w:szCs w:val="18"/>
                    </w:rPr>
                    <w:t>停留时间</w:t>
                  </w:r>
                </w:p>
              </w:tc>
            </w:tr>
            <w:tr w14:paraId="78808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937" w:type="dxa"/>
                  <w:tcBorders>
                    <w:top w:val="single" w:color="auto" w:sz="4" w:space="0"/>
                    <w:left w:val="single" w:color="auto" w:sz="4" w:space="0"/>
                    <w:right w:val="single" w:color="auto" w:sz="4" w:space="0"/>
                  </w:tcBorders>
                  <w:noWrap w:val="0"/>
                  <w:vAlign w:val="center"/>
                </w:tcPr>
                <w:p w14:paraId="187FB3F2">
                  <w:pPr>
                    <w:spacing w:before="120" w:after="120" w:line="320" w:lineRule="exact"/>
                    <w:jc w:val="center"/>
                    <w:rPr>
                      <w:rFonts w:ascii="微软雅黑" w:hAnsi="微软雅黑" w:eastAsia="微软雅黑"/>
                      <w:bCs/>
                      <w:sz w:val="18"/>
                      <w:szCs w:val="18"/>
                    </w:rPr>
                  </w:pPr>
                  <w:r>
                    <w:rPr>
                      <w:rFonts w:hint="eastAsia" w:ascii="微软雅黑" w:hAnsi="微软雅黑" w:eastAsia="微软雅黑"/>
                      <w:bCs/>
                      <w:sz w:val="18"/>
                      <w:szCs w:val="18"/>
                      <w:lang w:val="en-US" w:eastAsia="zh-CN"/>
                    </w:rPr>
                    <w:t>皇家</w:t>
                  </w:r>
                  <w:r>
                    <w:rPr>
                      <w:rFonts w:hint="eastAsia" w:ascii="微软雅黑" w:hAnsi="微软雅黑" w:eastAsia="微软雅黑"/>
                      <w:bCs/>
                      <w:sz w:val="18"/>
                      <w:szCs w:val="18"/>
                    </w:rPr>
                    <w:t>珠宝</w:t>
                  </w:r>
                  <w:r>
                    <w:rPr>
                      <w:rFonts w:hint="eastAsia" w:ascii="微软雅黑" w:hAnsi="微软雅黑" w:eastAsia="微软雅黑"/>
                      <w:bCs/>
                      <w:sz w:val="18"/>
                      <w:szCs w:val="18"/>
                      <w:lang w:val="en-US" w:eastAsia="zh-CN"/>
                    </w:rPr>
                    <w:t>展示</w:t>
                  </w:r>
                  <w:r>
                    <w:rPr>
                      <w:rFonts w:hint="eastAsia" w:ascii="微软雅黑" w:hAnsi="微软雅黑" w:eastAsia="微软雅黑"/>
                      <w:bCs/>
                      <w:sz w:val="18"/>
                      <w:szCs w:val="18"/>
                    </w:rPr>
                    <w:t>中心</w:t>
                  </w:r>
                </w:p>
              </w:tc>
              <w:tc>
                <w:tcPr>
                  <w:tcW w:w="6263" w:type="dxa"/>
                  <w:tcBorders>
                    <w:top w:val="single" w:color="auto" w:sz="4" w:space="0"/>
                    <w:left w:val="single" w:color="auto" w:sz="4" w:space="0"/>
                    <w:right w:val="single" w:color="auto" w:sz="4" w:space="0"/>
                  </w:tcBorders>
                  <w:noWrap w:val="0"/>
                  <w:vAlign w:val="center"/>
                </w:tcPr>
                <w:p w14:paraId="6A0F5722">
                  <w:pPr>
                    <w:spacing w:before="120" w:after="120" w:line="320" w:lineRule="exact"/>
                    <w:rPr>
                      <w:rFonts w:ascii="微软雅黑" w:hAnsi="微软雅黑" w:eastAsia="微软雅黑"/>
                      <w:bCs/>
                      <w:sz w:val="18"/>
                      <w:szCs w:val="18"/>
                    </w:rPr>
                  </w:pPr>
                  <w:r>
                    <w:rPr>
                      <w:rFonts w:hint="eastAsia" w:ascii="微软雅黑" w:hAnsi="微软雅黑" w:eastAsia="微软雅黑"/>
                      <w:bCs/>
                      <w:sz w:val="18"/>
                      <w:szCs w:val="18"/>
                    </w:rPr>
                    <w:t>主营泰国红、蓝、黄、白宝石首饰等，以及其它稀有有色宝石饰品。</w:t>
                  </w:r>
                </w:p>
              </w:tc>
              <w:tc>
                <w:tcPr>
                  <w:tcW w:w="1434" w:type="dxa"/>
                  <w:tcBorders>
                    <w:top w:val="single" w:color="auto" w:sz="4" w:space="0"/>
                    <w:left w:val="single" w:color="auto" w:sz="4" w:space="0"/>
                    <w:right w:val="single" w:color="auto" w:sz="4" w:space="0"/>
                  </w:tcBorders>
                  <w:noWrap w:val="0"/>
                  <w:vAlign w:val="center"/>
                </w:tcPr>
                <w:p w14:paraId="1AEA3ED3">
                  <w:pPr>
                    <w:spacing w:before="120" w:after="120" w:line="320" w:lineRule="exact"/>
                    <w:ind w:firstLine="360"/>
                    <w:rPr>
                      <w:rFonts w:ascii="微软雅黑" w:hAnsi="微软雅黑" w:eastAsia="微软雅黑"/>
                      <w:bCs/>
                      <w:sz w:val="18"/>
                      <w:szCs w:val="18"/>
                    </w:rPr>
                  </w:pPr>
                  <w:r>
                    <w:rPr>
                      <w:rFonts w:hint="eastAsia" w:ascii="微软雅黑" w:hAnsi="微软雅黑" w:eastAsia="微软雅黑"/>
                      <w:bCs/>
                      <w:sz w:val="18"/>
                      <w:szCs w:val="18"/>
                    </w:rPr>
                    <w:t>90分钟</w:t>
                  </w:r>
                </w:p>
              </w:tc>
            </w:tr>
            <w:tr w14:paraId="5C840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37" w:type="dxa"/>
                  <w:tcBorders>
                    <w:left w:val="single" w:color="auto" w:sz="4" w:space="0"/>
                    <w:right w:val="single" w:color="auto" w:sz="4" w:space="0"/>
                  </w:tcBorders>
                  <w:noWrap w:val="0"/>
                  <w:vAlign w:val="center"/>
                </w:tcPr>
                <w:p w14:paraId="2020C247">
                  <w:pPr>
                    <w:spacing w:before="120" w:after="120" w:line="320" w:lineRule="exact"/>
                    <w:jc w:val="center"/>
                    <w:rPr>
                      <w:rFonts w:hint="eastAsia" w:ascii="微软雅黑" w:hAnsi="微软雅黑" w:eastAsia="微软雅黑"/>
                      <w:bCs/>
                      <w:sz w:val="18"/>
                      <w:szCs w:val="18"/>
                    </w:rPr>
                  </w:pPr>
                  <w:r>
                    <w:rPr>
                      <w:rFonts w:hint="eastAsia" w:ascii="微软雅黑" w:hAnsi="微软雅黑" w:eastAsia="微软雅黑"/>
                      <w:bCs/>
                      <w:sz w:val="18"/>
                      <w:szCs w:val="18"/>
                      <w:lang w:val="en-US" w:eastAsia="zh-CN"/>
                    </w:rPr>
                    <w:t>皇家毒蛇研究中心</w:t>
                  </w:r>
                </w:p>
              </w:tc>
              <w:tc>
                <w:tcPr>
                  <w:tcW w:w="6263" w:type="dxa"/>
                  <w:tcBorders>
                    <w:top w:val="single" w:color="auto" w:sz="4" w:space="0"/>
                    <w:left w:val="single" w:color="auto" w:sz="4" w:space="0"/>
                    <w:right w:val="single" w:color="auto" w:sz="4" w:space="0"/>
                  </w:tcBorders>
                  <w:noWrap w:val="0"/>
                  <w:vAlign w:val="center"/>
                </w:tcPr>
                <w:p w14:paraId="1EDC4BD9">
                  <w:pPr>
                    <w:spacing w:before="120" w:after="120" w:line="320" w:lineRule="exact"/>
                    <w:rPr>
                      <w:rFonts w:ascii="微软雅黑" w:hAnsi="微软雅黑" w:eastAsia="微软雅黑"/>
                      <w:bCs/>
                      <w:sz w:val="18"/>
                      <w:szCs w:val="18"/>
                    </w:rPr>
                  </w:pPr>
                  <w:r>
                    <w:rPr>
                      <w:rFonts w:hint="eastAsia" w:ascii="微软雅黑" w:hAnsi="微软雅黑" w:eastAsia="微软雅黑"/>
                      <w:bCs/>
                      <w:sz w:val="18"/>
                      <w:szCs w:val="18"/>
                    </w:rPr>
                    <w:t>主营具有提取毒蛇有效成分和精华的解毒丹、风湿丸、调经丸等等。</w:t>
                  </w:r>
                </w:p>
              </w:tc>
              <w:tc>
                <w:tcPr>
                  <w:tcW w:w="1434" w:type="dxa"/>
                  <w:tcBorders>
                    <w:top w:val="single" w:color="auto" w:sz="4" w:space="0"/>
                    <w:left w:val="single" w:color="auto" w:sz="4" w:space="0"/>
                    <w:right w:val="single" w:color="auto" w:sz="4" w:space="0"/>
                  </w:tcBorders>
                  <w:noWrap w:val="0"/>
                  <w:vAlign w:val="center"/>
                </w:tcPr>
                <w:p w14:paraId="745692A7">
                  <w:pPr>
                    <w:spacing w:before="120" w:after="120" w:line="320" w:lineRule="exact"/>
                    <w:ind w:firstLine="360"/>
                    <w:rPr>
                      <w:rFonts w:ascii="微软雅黑" w:hAnsi="微软雅黑" w:eastAsia="微软雅黑"/>
                      <w:bCs/>
                      <w:sz w:val="18"/>
                      <w:szCs w:val="18"/>
                    </w:rPr>
                  </w:pPr>
                  <w:r>
                    <w:rPr>
                      <w:rFonts w:hint="eastAsia" w:ascii="微软雅黑" w:hAnsi="微软雅黑" w:eastAsia="微软雅黑"/>
                      <w:bCs/>
                      <w:sz w:val="18"/>
                      <w:szCs w:val="18"/>
                    </w:rPr>
                    <w:t>60分钟</w:t>
                  </w:r>
                </w:p>
              </w:tc>
            </w:tr>
            <w:tr w14:paraId="574FF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937" w:type="dxa"/>
                  <w:tcBorders>
                    <w:left w:val="single" w:color="auto" w:sz="4" w:space="0"/>
                    <w:right w:val="single" w:color="auto" w:sz="4" w:space="0"/>
                  </w:tcBorders>
                  <w:noWrap w:val="0"/>
                  <w:vAlign w:val="center"/>
                </w:tcPr>
                <w:p w14:paraId="792C2CB1">
                  <w:pPr>
                    <w:spacing w:before="120" w:after="120" w:line="320" w:lineRule="exact"/>
                    <w:ind w:firstLine="180" w:firstLineChars="100"/>
                    <w:rPr>
                      <w:rFonts w:ascii="微软雅黑" w:hAnsi="微软雅黑" w:eastAsia="微软雅黑"/>
                      <w:bCs/>
                      <w:sz w:val="18"/>
                      <w:szCs w:val="18"/>
                    </w:rPr>
                  </w:pPr>
                  <w:r>
                    <w:rPr>
                      <w:rFonts w:hint="eastAsia" w:ascii="微软雅黑" w:hAnsi="微软雅黑" w:eastAsia="微软雅黑"/>
                      <w:bCs/>
                      <w:sz w:val="18"/>
                      <w:szCs w:val="18"/>
                      <w:lang w:val="en-US" w:eastAsia="zh-CN"/>
                    </w:rPr>
                    <w:t>泰国乳胶体验馆</w:t>
                  </w:r>
                </w:p>
              </w:tc>
              <w:tc>
                <w:tcPr>
                  <w:tcW w:w="6263" w:type="dxa"/>
                  <w:tcBorders>
                    <w:top w:val="single" w:color="auto" w:sz="4" w:space="0"/>
                    <w:left w:val="single" w:color="auto" w:sz="4" w:space="0"/>
                    <w:right w:val="single" w:color="auto" w:sz="4" w:space="0"/>
                  </w:tcBorders>
                  <w:noWrap w:val="0"/>
                  <w:vAlign w:val="center"/>
                </w:tcPr>
                <w:p w14:paraId="05A3CB85">
                  <w:pPr>
                    <w:spacing w:before="120" w:after="120" w:line="320" w:lineRule="exact"/>
                    <w:ind w:left="540" w:hanging="540" w:hangingChars="300"/>
                    <w:rPr>
                      <w:rFonts w:ascii="微软雅黑" w:hAnsi="微软雅黑" w:eastAsia="微软雅黑" w:cs="宋体"/>
                      <w:bCs/>
                      <w:sz w:val="18"/>
                      <w:szCs w:val="18"/>
                    </w:rPr>
                  </w:pPr>
                  <w:r>
                    <w:rPr>
                      <w:rFonts w:hint="eastAsia" w:ascii="微软雅黑" w:hAnsi="微软雅黑" w:eastAsia="微软雅黑" w:cs="宋体"/>
                      <w:bCs/>
                      <w:sz w:val="18"/>
                      <w:szCs w:val="18"/>
                    </w:rPr>
                    <w:t>泰国本土特产(乳胶枕头、乳胶床垫等等)</w:t>
                  </w:r>
                </w:p>
              </w:tc>
              <w:tc>
                <w:tcPr>
                  <w:tcW w:w="1434" w:type="dxa"/>
                  <w:tcBorders>
                    <w:top w:val="single" w:color="auto" w:sz="4" w:space="0"/>
                    <w:left w:val="single" w:color="auto" w:sz="4" w:space="0"/>
                    <w:right w:val="single" w:color="auto" w:sz="4" w:space="0"/>
                  </w:tcBorders>
                  <w:noWrap w:val="0"/>
                  <w:vAlign w:val="center"/>
                </w:tcPr>
                <w:p w14:paraId="593215BA">
                  <w:pPr>
                    <w:spacing w:before="120" w:after="120" w:line="320" w:lineRule="exact"/>
                    <w:ind w:firstLine="360" w:firstLineChars="200"/>
                    <w:rPr>
                      <w:rFonts w:ascii="微软雅黑" w:hAnsi="微软雅黑" w:eastAsia="微软雅黑" w:cs="宋体"/>
                      <w:bCs/>
                      <w:sz w:val="18"/>
                      <w:szCs w:val="18"/>
                    </w:rPr>
                  </w:pPr>
                  <w:r>
                    <w:rPr>
                      <w:rFonts w:hint="eastAsia" w:ascii="微软雅黑" w:hAnsi="微软雅黑" w:eastAsia="微软雅黑" w:cs="宋体"/>
                      <w:bCs/>
                      <w:sz w:val="18"/>
                      <w:szCs w:val="18"/>
                    </w:rPr>
                    <w:t>60分钟</w:t>
                  </w:r>
                </w:p>
              </w:tc>
            </w:tr>
            <w:tr w14:paraId="0576E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9634" w:type="dxa"/>
                  <w:gridSpan w:val="3"/>
                  <w:tcBorders>
                    <w:top w:val="single" w:color="auto" w:sz="4" w:space="0"/>
                    <w:left w:val="single" w:color="auto" w:sz="4" w:space="0"/>
                    <w:bottom w:val="single" w:color="auto" w:sz="4" w:space="0"/>
                    <w:right w:val="single" w:color="auto" w:sz="4" w:space="0"/>
                  </w:tcBorders>
                  <w:noWrap w:val="0"/>
                  <w:vAlign w:val="center"/>
                </w:tcPr>
                <w:p w14:paraId="5A74E7B1">
                  <w:pPr>
                    <w:spacing w:line="280" w:lineRule="exact"/>
                    <w:ind w:left="170" w:leftChars="81" w:right="288" w:rightChars="137" w:firstLine="282" w:firstLineChars="157"/>
                    <w:jc w:val="left"/>
                    <w:rPr>
                      <w:sz w:val="18"/>
                      <w:szCs w:val="18"/>
                    </w:rPr>
                  </w:pPr>
                  <w:r>
                    <w:rPr>
                      <w:rFonts w:hint="eastAsia"/>
                      <w:sz w:val="18"/>
                      <w:szCs w:val="18"/>
                    </w:rPr>
                    <w:t>购物场所说明：</w:t>
                  </w:r>
                </w:p>
                <w:p w14:paraId="528C7BEE">
                  <w:pPr>
                    <w:spacing w:line="280" w:lineRule="exact"/>
                    <w:ind w:left="170" w:leftChars="81" w:right="288" w:rightChars="137" w:firstLine="282" w:firstLineChars="157"/>
                    <w:jc w:val="left"/>
                    <w:rPr>
                      <w:sz w:val="18"/>
                      <w:szCs w:val="18"/>
                    </w:rPr>
                  </w:pPr>
                  <w:r>
                    <w:rPr>
                      <w:rFonts w:hint="eastAsia"/>
                      <w:sz w:val="18"/>
                      <w:szCs w:val="18"/>
                    </w:rPr>
                    <w:t>1、商品价格是由市场决定，旅游者应根据自身经济状况选择，所购商品如非质量问题一律不予退还；</w:t>
                  </w:r>
                </w:p>
                <w:p w14:paraId="6F977D10">
                  <w:pPr>
                    <w:spacing w:line="280" w:lineRule="exact"/>
                    <w:ind w:left="170" w:leftChars="81" w:right="288" w:rightChars="137" w:firstLine="282" w:firstLineChars="157"/>
                    <w:jc w:val="left"/>
                    <w:rPr>
                      <w:sz w:val="18"/>
                      <w:szCs w:val="18"/>
                    </w:rPr>
                  </w:pPr>
                  <w:r>
                    <w:rPr>
                      <w:rFonts w:hint="eastAsia"/>
                      <w:sz w:val="18"/>
                      <w:szCs w:val="18"/>
                    </w:rPr>
                    <w:t>2、行程单中的景点（免税商场）不属于安排的购物场所，旅行社不承担任何责任；</w:t>
                  </w:r>
                </w:p>
                <w:p w14:paraId="5CF6F7AD">
                  <w:pPr>
                    <w:spacing w:line="280" w:lineRule="exact"/>
                    <w:ind w:left="170" w:leftChars="81" w:right="288" w:rightChars="137" w:firstLine="282" w:firstLineChars="157"/>
                    <w:jc w:val="left"/>
                    <w:rPr>
                      <w:sz w:val="18"/>
                      <w:szCs w:val="18"/>
                    </w:rPr>
                  </w:pPr>
                  <w:r>
                    <w:rPr>
                      <w:rFonts w:hint="eastAsia"/>
                      <w:sz w:val="18"/>
                      <w:szCs w:val="18"/>
                    </w:rPr>
                    <w:t>3、旅游者自行前往的购物场所购买商品出现质量问题，旅行社不承担任何责任。</w:t>
                  </w:r>
                </w:p>
                <w:p w14:paraId="247F3537">
                  <w:pPr>
                    <w:spacing w:line="280" w:lineRule="exact"/>
                    <w:ind w:left="170" w:leftChars="81" w:right="288" w:rightChars="137" w:firstLine="282" w:firstLineChars="157"/>
                    <w:jc w:val="left"/>
                    <w:rPr>
                      <w:sz w:val="18"/>
                      <w:szCs w:val="18"/>
                    </w:rPr>
                  </w:pPr>
                  <w:r>
                    <w:rPr>
                      <w:rFonts w:hint="eastAsia"/>
                      <w:sz w:val="18"/>
                      <w:szCs w:val="18"/>
                    </w:rPr>
                    <w:t>4、境外购物的应自行承担购物活动所产生的各项关税、费用等项，如不能获得当地的退税，客人自行承担相关的已发生的税费。</w:t>
                  </w:r>
                </w:p>
                <w:p w14:paraId="15BADB31">
                  <w:pPr>
                    <w:spacing w:line="280" w:lineRule="exact"/>
                    <w:ind w:left="170" w:leftChars="81" w:right="288" w:rightChars="137" w:firstLine="282" w:firstLineChars="157"/>
                    <w:jc w:val="left"/>
                    <w:rPr>
                      <w:sz w:val="18"/>
                      <w:szCs w:val="18"/>
                    </w:rPr>
                  </w:pPr>
                  <w:r>
                    <w:rPr>
                      <w:rFonts w:hint="eastAsia"/>
                      <w:sz w:val="18"/>
                      <w:szCs w:val="18"/>
                    </w:rPr>
                    <w:t>客人声明：本人及本人代表旅游合同所列参团的全体同行人，对以上条款内容已完全了解和认同，现予以签字确认。</w:t>
                  </w:r>
                </w:p>
                <w:p w14:paraId="3E82203B">
                  <w:pPr>
                    <w:spacing w:before="120" w:after="120"/>
                    <w:ind w:firstLine="422"/>
                    <w:rPr>
                      <w:sz w:val="18"/>
                      <w:szCs w:val="18"/>
                    </w:rPr>
                  </w:pPr>
                  <w:r>
                    <w:rPr>
                      <w:rFonts w:hint="eastAsia"/>
                      <w:sz w:val="18"/>
                      <w:szCs w:val="18"/>
                    </w:rPr>
                    <w:t>旅游者确认签字：                                                         签字日期:</w:t>
                  </w:r>
                </w:p>
                <w:p w14:paraId="2FE07F7B">
                  <w:pPr>
                    <w:spacing w:before="120" w:after="120"/>
                    <w:rPr>
                      <w:rFonts w:ascii="微软雅黑" w:hAnsi="微软雅黑" w:eastAsia="微软雅黑"/>
                      <w:bCs/>
                      <w:sz w:val="18"/>
                      <w:szCs w:val="18"/>
                    </w:rPr>
                  </w:pPr>
                  <w:r>
                    <w:rPr>
                      <w:rFonts w:hint="eastAsia" w:ascii="微软雅黑" w:hAnsi="微软雅黑" w:eastAsia="微软雅黑"/>
                      <w:bCs/>
                      <w:sz w:val="18"/>
                      <w:szCs w:val="18"/>
                    </w:rPr>
                    <w:t xml:space="preserve"> 客人声明：本人及本人代表旅游合同所列参团的全体同行人，对以上条款内容已完全了解和认同，现予以签字确认。</w:t>
                  </w:r>
                </w:p>
              </w:tc>
            </w:tr>
          </w:tbl>
          <w:p w14:paraId="5DE6A4B7">
            <w:pPr>
              <w:rPr>
                <w:rFonts w:hint="eastAsia" w:ascii="宋体" w:hAnsi="宋体"/>
                <w:b/>
                <w:color w:val="000000"/>
                <w:sz w:val="18"/>
                <w:szCs w:val="18"/>
              </w:rPr>
            </w:pPr>
          </w:p>
        </w:tc>
      </w:tr>
      <w:tr w14:paraId="74D93BA5">
        <w:tblPrEx>
          <w:tblBorders>
            <w:top w:val="single" w:color="7B7B7B" w:themeColor="accent3" w:themeShade="BF" w:sz="8" w:space="0"/>
            <w:left w:val="single" w:color="7B7B7B" w:themeColor="accent3" w:themeShade="BF" w:sz="8" w:space="0"/>
            <w:bottom w:val="single" w:color="7B7B7B" w:themeColor="accent3" w:themeShade="BF" w:sz="8" w:space="0"/>
            <w:right w:val="single" w:color="7B7B7B" w:themeColor="accent3" w:themeShade="BF" w:sz="8" w:space="0"/>
            <w:insideH w:val="single" w:color="7B7B7B" w:themeColor="accent3" w:themeShade="BF" w:sz="8" w:space="0"/>
            <w:insideV w:val="single" w:color="7B7B7B" w:themeColor="accent3" w:themeShade="BF" w:sz="8" w:space="0"/>
          </w:tblBorders>
          <w:shd w:val="clear" w:color="auto" w:fill="FFFFFF"/>
          <w:tblCellMar>
            <w:top w:w="0" w:type="dxa"/>
            <w:left w:w="108" w:type="dxa"/>
            <w:bottom w:w="0" w:type="dxa"/>
            <w:right w:w="108" w:type="dxa"/>
          </w:tblCellMar>
        </w:tblPrEx>
        <w:trPr>
          <w:gridAfter w:val="1"/>
          <w:wAfter w:w="322" w:type="dxa"/>
          <w:trHeight w:val="820" w:hRule="atLeast"/>
          <w:jc w:val="center"/>
        </w:trPr>
        <w:tc>
          <w:tcPr>
            <w:tcW w:w="9720" w:type="dxa"/>
            <w:gridSpan w:val="3"/>
            <w:tcBorders>
              <w:tl2br w:val="nil"/>
              <w:tr2bl w:val="nil"/>
            </w:tcBorders>
            <w:shd w:val="clear" w:color="auto" w:fill="FFFFFF"/>
            <w:noWrap w:val="0"/>
            <w:vAlign w:val="top"/>
          </w:tcPr>
          <w:p w14:paraId="0AA7675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ascii="Tahoma" w:hAnsi="Tahoma" w:eastAsia="Tahoma" w:cs="Tahoma"/>
                <w:i w:val="0"/>
                <w:iCs w:val="0"/>
                <w:caps w:val="0"/>
                <w:color w:val="323232"/>
                <w:spacing w:val="0"/>
                <w:sz w:val="21"/>
                <w:szCs w:val="21"/>
              </w:rPr>
            </w:pPr>
            <w:r>
              <w:rPr>
                <w:rStyle w:val="9"/>
                <w:rFonts w:hint="eastAsia" w:ascii="宋体" w:hAnsi="宋体" w:eastAsia="宋体" w:cs="宋体"/>
                <w:i w:val="0"/>
                <w:iCs w:val="0"/>
                <w:caps w:val="0"/>
                <w:color w:val="323232"/>
                <w:spacing w:val="0"/>
                <w:sz w:val="27"/>
                <w:szCs w:val="27"/>
                <w:shd w:val="clear" w:color="auto" w:fill="FFFFFF"/>
              </w:rPr>
              <w:t>如需丰富行程，可自愿选择以下项目</w:t>
            </w:r>
          </w:p>
          <w:p w14:paraId="4FDAF28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ascii="微软雅黑" w:hAnsi="微软雅黑" w:eastAsia="微软雅黑" w:cs="微软雅黑"/>
                <w:color w:val="3E3E3E"/>
                <w:sz w:val="21"/>
                <w:szCs w:val="21"/>
              </w:rPr>
            </w:pPr>
            <w:r>
              <w:rPr>
                <w:rFonts w:hint="eastAsia" w:ascii="微软雅黑" w:hAnsi="微软雅黑" w:eastAsia="微软雅黑" w:cs="微软雅黑"/>
                <w:color w:val="3E3E3E"/>
                <w:sz w:val="21"/>
                <w:szCs w:val="21"/>
              </w:rPr>
              <w:t>致各位旅泰贵宾：</w:t>
            </w:r>
          </w:p>
          <w:p w14:paraId="23A0A5F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color w:val="3E3E3E"/>
                <w:sz w:val="21"/>
                <w:szCs w:val="21"/>
              </w:rPr>
            </w:pPr>
            <w:r>
              <w:rPr>
                <w:rFonts w:hint="eastAsia" w:ascii="微软雅黑" w:hAnsi="微软雅黑" w:eastAsia="微软雅黑" w:cs="微软雅黑"/>
                <w:color w:val="3E3E3E"/>
                <w:sz w:val="21"/>
                <w:szCs w:val="21"/>
              </w:rPr>
              <w:t>您到泰国旅游中，除了参加合约中的行程以外为了使你的行程更加丰富多彩对泰国芭堤雅更进一步了解，把美好的回忆带回家，在著名的东方夏威夷芭堤雅之不夜城的游览胜地，特别为您安排精彩的行程。保证使您大饱眼福，终身难忘！</w:t>
            </w:r>
          </w:p>
          <w:tbl>
            <w:tblPr>
              <w:tblStyle w:val="6"/>
              <w:tblW w:w="0" w:type="auto"/>
              <w:tblInd w:w="-9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37"/>
              <w:gridCol w:w="6904"/>
              <w:gridCol w:w="10"/>
              <w:gridCol w:w="983"/>
            </w:tblGrid>
            <w:tr w14:paraId="0E4213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3" w:hRule="atLeast"/>
              </w:trPr>
              <w:tc>
                <w:tcPr>
                  <w:tcW w:w="1637" w:type="dxa"/>
                  <w:tcBorders>
                    <w:top w:val="single" w:color="auto" w:sz="6" w:space="0"/>
                    <w:left w:val="single" w:color="auto" w:sz="6" w:space="0"/>
                    <w:bottom w:val="single" w:color="auto" w:sz="6" w:space="0"/>
                    <w:right w:val="single" w:color="auto" w:sz="6" w:space="0"/>
                  </w:tcBorders>
                  <w:noWrap w:val="0"/>
                  <w:vAlign w:val="top"/>
                </w:tcPr>
                <w:p w14:paraId="10696B52">
                  <w:pPr>
                    <w:spacing w:line="260" w:lineRule="exact"/>
                    <w:textAlignment w:val="baseline"/>
                    <w:rPr>
                      <w:rFonts w:hint="eastAsia" w:ascii="宋体" w:hAnsi="宋体"/>
                      <w:color w:val="000000"/>
                      <w:lang w:eastAsia="zh-TW"/>
                    </w:rPr>
                  </w:pPr>
                  <w:r>
                    <w:rPr>
                      <w:rFonts w:hint="eastAsia" w:ascii="宋体" w:hAnsi="宋体"/>
                      <w:color w:val="000000"/>
                      <w:lang w:eastAsia="zh-TW"/>
                    </w:rPr>
                    <w:t>项目名称</w:t>
                  </w:r>
                </w:p>
              </w:tc>
              <w:tc>
                <w:tcPr>
                  <w:tcW w:w="6904" w:type="dxa"/>
                  <w:tcBorders>
                    <w:top w:val="single" w:color="auto" w:sz="6" w:space="0"/>
                    <w:left w:val="single" w:color="auto" w:sz="6" w:space="0"/>
                    <w:bottom w:val="single" w:color="auto" w:sz="6" w:space="0"/>
                    <w:right w:val="single" w:color="auto" w:sz="4" w:space="0"/>
                  </w:tcBorders>
                  <w:noWrap w:val="0"/>
                  <w:vAlign w:val="top"/>
                </w:tcPr>
                <w:p w14:paraId="0D8C48E7">
                  <w:pPr>
                    <w:spacing w:line="260" w:lineRule="exact"/>
                    <w:textAlignment w:val="baseline"/>
                    <w:rPr>
                      <w:rFonts w:hint="eastAsia" w:ascii="宋体" w:hAnsi="宋体"/>
                      <w:color w:val="000000"/>
                      <w:lang w:eastAsia="zh-TW"/>
                    </w:rPr>
                  </w:pPr>
                  <w:r>
                    <w:rPr>
                      <w:rFonts w:hint="eastAsia" w:ascii="宋体" w:hAnsi="宋体"/>
                      <w:color w:val="000000"/>
                      <w:lang w:eastAsia="zh-TW"/>
                    </w:rPr>
                    <w:t>节目内容简介</w:t>
                  </w:r>
                </w:p>
              </w:tc>
              <w:tc>
                <w:tcPr>
                  <w:tcW w:w="993" w:type="dxa"/>
                  <w:gridSpan w:val="2"/>
                  <w:tcBorders>
                    <w:top w:val="single" w:color="auto" w:sz="6" w:space="0"/>
                    <w:left w:val="single" w:color="auto" w:sz="4" w:space="0"/>
                    <w:bottom w:val="single" w:color="auto" w:sz="6" w:space="0"/>
                    <w:right w:val="single" w:color="auto" w:sz="6" w:space="0"/>
                  </w:tcBorders>
                  <w:noWrap w:val="0"/>
                  <w:vAlign w:val="top"/>
                </w:tcPr>
                <w:p w14:paraId="2AE3F53E">
                  <w:pPr>
                    <w:spacing w:line="260" w:lineRule="exact"/>
                    <w:textAlignment w:val="baseline"/>
                    <w:rPr>
                      <w:rFonts w:hint="eastAsia" w:ascii="宋体" w:hAnsi="宋体"/>
                      <w:color w:val="000000"/>
                      <w:lang w:eastAsia="zh-TW"/>
                    </w:rPr>
                  </w:pPr>
                </w:p>
              </w:tc>
            </w:tr>
            <w:tr w14:paraId="3A9068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0" w:hRule="atLeast"/>
              </w:trPr>
              <w:tc>
                <w:tcPr>
                  <w:tcW w:w="1637" w:type="dxa"/>
                  <w:tcBorders>
                    <w:top w:val="single" w:color="auto" w:sz="6" w:space="0"/>
                    <w:left w:val="single" w:color="auto" w:sz="6" w:space="0"/>
                    <w:bottom w:val="single" w:color="auto" w:sz="6" w:space="0"/>
                    <w:right w:val="single" w:color="auto" w:sz="6" w:space="0"/>
                  </w:tcBorders>
                  <w:noWrap w:val="0"/>
                  <w:vAlign w:val="center"/>
                </w:tcPr>
                <w:p w14:paraId="39CA2B48">
                  <w:pPr>
                    <w:spacing w:line="260" w:lineRule="exact"/>
                    <w:textAlignment w:val="baseline"/>
                    <w:rPr>
                      <w:rFonts w:hint="eastAsia" w:ascii="宋体" w:hAnsi="宋体"/>
                      <w:color w:val="000000"/>
                    </w:rPr>
                  </w:pPr>
                  <w:r>
                    <w:rPr>
                      <w:rFonts w:hint="eastAsia" w:ascii="宋体" w:hAnsi="宋体"/>
                      <w:color w:val="000000"/>
                    </w:rPr>
                    <w:t>SPA宫廷理疗</w:t>
                  </w:r>
                </w:p>
              </w:tc>
              <w:tc>
                <w:tcPr>
                  <w:tcW w:w="6904" w:type="dxa"/>
                  <w:tcBorders>
                    <w:top w:val="single" w:color="auto" w:sz="6" w:space="0"/>
                    <w:left w:val="single" w:color="auto" w:sz="6" w:space="0"/>
                    <w:bottom w:val="single" w:color="auto" w:sz="6" w:space="0"/>
                    <w:right w:val="single" w:color="auto" w:sz="4" w:space="0"/>
                  </w:tcBorders>
                  <w:noWrap w:val="0"/>
                  <w:vAlign w:val="top"/>
                </w:tcPr>
                <w:p w14:paraId="45A4C01A">
                  <w:pPr>
                    <w:spacing w:line="260" w:lineRule="exact"/>
                    <w:textAlignment w:val="baseline"/>
                    <w:rPr>
                      <w:rFonts w:hint="eastAsia" w:ascii="宋体" w:hAnsi="宋体"/>
                      <w:color w:val="000000"/>
                    </w:rPr>
                  </w:pPr>
                  <w:r>
                    <w:rPr>
                      <w:rFonts w:hint="eastAsia" w:ascii="宋体" w:hAnsi="宋体"/>
                      <w:color w:val="000000"/>
                    </w:rPr>
                    <w:t>泰国宫廷精油SPA按摩是一种高档次的健身享受，自泰国五世国皇后由皇宫流传到民间，SPA原属于水源按摩疗法，保养皮肤、消除疲劳、放松自我的超级健身享受，泰国SPA如今已被世界评为泰国旅游必去之地，SPA健康护体的水疗按摩深受世界游客的好评。</w:t>
                  </w:r>
                </w:p>
              </w:tc>
              <w:tc>
                <w:tcPr>
                  <w:tcW w:w="993" w:type="dxa"/>
                  <w:gridSpan w:val="2"/>
                  <w:tcBorders>
                    <w:top w:val="single" w:color="auto" w:sz="6" w:space="0"/>
                    <w:left w:val="single" w:color="auto" w:sz="4" w:space="0"/>
                    <w:bottom w:val="single" w:color="auto" w:sz="6" w:space="0"/>
                    <w:right w:val="single" w:color="auto" w:sz="6" w:space="0"/>
                  </w:tcBorders>
                  <w:noWrap w:val="0"/>
                  <w:vAlign w:val="center"/>
                </w:tcPr>
                <w:p w14:paraId="1A5A2A57">
                  <w:pPr>
                    <w:spacing w:line="260" w:lineRule="exact"/>
                    <w:textAlignment w:val="baseline"/>
                    <w:rPr>
                      <w:rFonts w:hint="eastAsia" w:ascii="宋体" w:hAnsi="宋体"/>
                      <w:color w:val="000000"/>
                    </w:rPr>
                  </w:pPr>
                  <w:r>
                    <w:rPr>
                      <w:rFonts w:hint="eastAsia" w:ascii="宋体" w:hAnsi="宋体"/>
                      <w:color w:val="000000"/>
                    </w:rPr>
                    <w:t>2200铢</w:t>
                  </w:r>
                </w:p>
              </w:tc>
            </w:tr>
            <w:tr w14:paraId="427804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2" w:hRule="atLeast"/>
              </w:trPr>
              <w:tc>
                <w:tcPr>
                  <w:tcW w:w="1637" w:type="dxa"/>
                  <w:tcBorders>
                    <w:top w:val="single" w:color="auto" w:sz="6" w:space="0"/>
                    <w:left w:val="single" w:color="auto" w:sz="6" w:space="0"/>
                    <w:bottom w:val="single" w:color="auto" w:sz="6" w:space="0"/>
                    <w:right w:val="single" w:color="auto" w:sz="6" w:space="0"/>
                  </w:tcBorders>
                  <w:noWrap w:val="0"/>
                  <w:vAlign w:val="center"/>
                </w:tcPr>
                <w:p w14:paraId="53564DBF">
                  <w:pPr>
                    <w:spacing w:line="260" w:lineRule="exact"/>
                    <w:textAlignment w:val="baseline"/>
                    <w:rPr>
                      <w:rFonts w:hint="eastAsia" w:ascii="宋体" w:hAnsi="宋体"/>
                      <w:color w:val="000000"/>
                    </w:rPr>
                  </w:pPr>
                  <w:r>
                    <w:rPr>
                      <w:rFonts w:hint="eastAsia" w:ascii="宋体" w:hAnsi="宋体"/>
                      <w:color w:val="000000"/>
                    </w:rPr>
                    <w:t>热带水果园</w:t>
                  </w:r>
                </w:p>
                <w:p w14:paraId="56DB2465">
                  <w:pPr>
                    <w:spacing w:line="260" w:lineRule="exact"/>
                    <w:textAlignment w:val="baseline"/>
                    <w:rPr>
                      <w:rFonts w:hint="eastAsia" w:ascii="宋体" w:hAnsi="宋体"/>
                      <w:color w:val="000000"/>
                    </w:rPr>
                  </w:pPr>
                  <w:r>
                    <w:rPr>
                      <w:rFonts w:hint="eastAsia" w:ascii="宋体" w:hAnsi="宋体"/>
                      <w:color w:val="000000"/>
                    </w:rPr>
                    <w:t>+水果升级</w:t>
                  </w:r>
                </w:p>
              </w:tc>
              <w:tc>
                <w:tcPr>
                  <w:tcW w:w="6904" w:type="dxa"/>
                  <w:tcBorders>
                    <w:top w:val="single" w:color="auto" w:sz="6" w:space="0"/>
                    <w:left w:val="single" w:color="auto" w:sz="6" w:space="0"/>
                    <w:bottom w:val="single" w:color="auto" w:sz="6" w:space="0"/>
                    <w:right w:val="single" w:color="auto" w:sz="4" w:space="0"/>
                  </w:tcBorders>
                  <w:noWrap w:val="0"/>
                  <w:vAlign w:val="top"/>
                </w:tcPr>
                <w:p w14:paraId="26F45E03">
                  <w:pPr>
                    <w:spacing w:line="260" w:lineRule="exact"/>
                    <w:textAlignment w:val="baseline"/>
                    <w:rPr>
                      <w:rFonts w:hint="eastAsia" w:ascii="宋体" w:hAnsi="宋体"/>
                      <w:color w:val="000000"/>
                    </w:rPr>
                  </w:pPr>
                  <w:r>
                    <w:rPr>
                      <w:rFonts w:hint="eastAsia" w:ascii="宋体" w:hAnsi="宋体"/>
                      <w:color w:val="000000"/>
                    </w:rPr>
                    <w:t>游览泰国热带水果种植基地，东南亚品种最多之热带水果树木，感受田园风光，吃、尽量吃,不限制难得一次，水果季节吃，大享口福，不在梦中，尽在眼中。</w:t>
                  </w:r>
                </w:p>
              </w:tc>
              <w:tc>
                <w:tcPr>
                  <w:tcW w:w="993" w:type="dxa"/>
                  <w:gridSpan w:val="2"/>
                  <w:tcBorders>
                    <w:top w:val="single" w:color="auto" w:sz="6" w:space="0"/>
                    <w:left w:val="single" w:color="auto" w:sz="4" w:space="0"/>
                    <w:bottom w:val="single" w:color="auto" w:sz="6" w:space="0"/>
                    <w:right w:val="single" w:color="auto" w:sz="6" w:space="0"/>
                  </w:tcBorders>
                  <w:noWrap w:val="0"/>
                  <w:vAlign w:val="center"/>
                </w:tcPr>
                <w:p w14:paraId="5A9D3F2C">
                  <w:pPr>
                    <w:spacing w:line="260" w:lineRule="exact"/>
                    <w:textAlignment w:val="baseline"/>
                    <w:rPr>
                      <w:rFonts w:hint="eastAsia" w:ascii="宋体" w:hAnsi="宋体"/>
                      <w:color w:val="000000"/>
                    </w:rPr>
                  </w:pPr>
                  <w:r>
                    <w:rPr>
                      <w:rFonts w:hint="eastAsia" w:ascii="宋体" w:hAnsi="宋体"/>
                      <w:color w:val="000000"/>
                    </w:rPr>
                    <w:t>1000铢</w:t>
                  </w:r>
                </w:p>
              </w:tc>
            </w:tr>
            <w:tr w14:paraId="26B121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0" w:hRule="atLeast"/>
              </w:trPr>
              <w:tc>
                <w:tcPr>
                  <w:tcW w:w="1637" w:type="dxa"/>
                  <w:tcBorders>
                    <w:top w:val="single" w:color="auto" w:sz="6" w:space="0"/>
                    <w:left w:val="single" w:color="auto" w:sz="6" w:space="0"/>
                    <w:bottom w:val="single" w:color="auto" w:sz="6" w:space="0"/>
                    <w:right w:val="single" w:color="auto" w:sz="6" w:space="0"/>
                  </w:tcBorders>
                  <w:noWrap w:val="0"/>
                  <w:vAlign w:val="center"/>
                </w:tcPr>
                <w:p w14:paraId="32ABFA6C">
                  <w:pPr>
                    <w:spacing w:line="260" w:lineRule="exact"/>
                    <w:textAlignment w:val="baseline"/>
                    <w:rPr>
                      <w:rFonts w:hint="eastAsia" w:ascii="宋体" w:hAnsi="宋体"/>
                      <w:color w:val="000000"/>
                    </w:rPr>
                  </w:pPr>
                  <w:r>
                    <w:rPr>
                      <w:rFonts w:hint="eastAsia" w:ascii="宋体" w:hAnsi="宋体"/>
                      <w:color w:val="000000"/>
                    </w:rPr>
                    <w:t>超级海鲜加餐</w:t>
                  </w:r>
                </w:p>
              </w:tc>
              <w:tc>
                <w:tcPr>
                  <w:tcW w:w="6904" w:type="dxa"/>
                  <w:tcBorders>
                    <w:top w:val="single" w:color="auto" w:sz="6" w:space="0"/>
                    <w:left w:val="single" w:color="auto" w:sz="6" w:space="0"/>
                    <w:bottom w:val="single" w:color="auto" w:sz="6" w:space="0"/>
                    <w:right w:val="single" w:color="auto" w:sz="4" w:space="0"/>
                  </w:tcBorders>
                  <w:noWrap w:val="0"/>
                  <w:vAlign w:val="top"/>
                </w:tcPr>
                <w:p w14:paraId="62D2C75F">
                  <w:pPr>
                    <w:spacing w:line="260" w:lineRule="exact"/>
                    <w:textAlignment w:val="baseline"/>
                    <w:rPr>
                      <w:rFonts w:hint="eastAsia" w:ascii="宋体" w:hAnsi="宋体"/>
                      <w:color w:val="000000"/>
                    </w:rPr>
                  </w:pPr>
                  <w:r>
                    <w:rPr>
                      <w:rFonts w:hint="eastAsia" w:ascii="宋体" w:hAnsi="宋体"/>
                      <w:color w:val="000000"/>
                    </w:rPr>
                    <w:t>欣赏太平洋宜人的景色并享用自然生长的鲜活海鲜，独特的泰国风味料理，含螃蟹、虾、泰国小龙虾、海鱼、鲨鱼酸辣汤、贝类让君大块朵颐，还有啤酒饮料助兴，使君饱食鲜味，回味无穷。</w:t>
                  </w:r>
                </w:p>
              </w:tc>
              <w:tc>
                <w:tcPr>
                  <w:tcW w:w="993" w:type="dxa"/>
                  <w:gridSpan w:val="2"/>
                  <w:tcBorders>
                    <w:top w:val="single" w:color="auto" w:sz="6" w:space="0"/>
                    <w:left w:val="single" w:color="auto" w:sz="4" w:space="0"/>
                    <w:bottom w:val="single" w:color="auto" w:sz="6" w:space="0"/>
                    <w:right w:val="single" w:color="auto" w:sz="6" w:space="0"/>
                  </w:tcBorders>
                  <w:noWrap w:val="0"/>
                  <w:vAlign w:val="center"/>
                </w:tcPr>
                <w:p w14:paraId="1841D4D7">
                  <w:pPr>
                    <w:spacing w:line="260" w:lineRule="exact"/>
                    <w:textAlignment w:val="baseline"/>
                    <w:rPr>
                      <w:rFonts w:hint="eastAsia" w:ascii="宋体" w:hAnsi="宋体"/>
                      <w:color w:val="000000"/>
                    </w:rPr>
                  </w:pPr>
                  <w:r>
                    <w:rPr>
                      <w:rFonts w:hint="eastAsia" w:ascii="宋体" w:hAnsi="宋体"/>
                      <w:color w:val="000000"/>
                    </w:rPr>
                    <w:t>1500铢</w:t>
                  </w:r>
                </w:p>
              </w:tc>
            </w:tr>
            <w:tr w14:paraId="619DB8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2" w:hRule="atLeast"/>
              </w:trPr>
              <w:tc>
                <w:tcPr>
                  <w:tcW w:w="1637" w:type="dxa"/>
                  <w:tcBorders>
                    <w:top w:val="single" w:color="auto" w:sz="6" w:space="0"/>
                    <w:left w:val="single" w:color="auto" w:sz="6" w:space="0"/>
                    <w:bottom w:val="single" w:color="auto" w:sz="6" w:space="0"/>
                    <w:right w:val="single" w:color="auto" w:sz="6" w:space="0"/>
                  </w:tcBorders>
                  <w:noWrap w:val="0"/>
                  <w:vAlign w:val="center"/>
                </w:tcPr>
                <w:p w14:paraId="3B0E37F7">
                  <w:pPr>
                    <w:spacing w:line="260" w:lineRule="exact"/>
                    <w:textAlignment w:val="baseline"/>
                    <w:rPr>
                      <w:rFonts w:hint="eastAsia" w:ascii="宋体" w:hAnsi="宋体"/>
                      <w:color w:val="000000"/>
                    </w:rPr>
                  </w:pPr>
                  <w:r>
                    <w:rPr>
                      <w:rFonts w:hint="eastAsia" w:ascii="宋体" w:hAnsi="宋体"/>
                      <w:color w:val="000000"/>
                    </w:rPr>
                    <w:t>皇帝餐</w:t>
                  </w:r>
                </w:p>
                <w:p w14:paraId="0B74347D">
                  <w:pPr>
                    <w:spacing w:line="260" w:lineRule="exact"/>
                    <w:textAlignment w:val="baseline"/>
                    <w:rPr>
                      <w:rFonts w:hint="eastAsia" w:ascii="宋体" w:hAnsi="宋体"/>
                      <w:color w:val="000000"/>
                    </w:rPr>
                  </w:pPr>
                  <w:r>
                    <w:rPr>
                      <w:rFonts w:hint="eastAsia" w:ascii="宋体" w:hAnsi="宋体"/>
                      <w:color w:val="000000"/>
                    </w:rPr>
                    <w:t>（鱼翅，燕窝）</w:t>
                  </w:r>
                </w:p>
              </w:tc>
              <w:tc>
                <w:tcPr>
                  <w:tcW w:w="6904" w:type="dxa"/>
                  <w:tcBorders>
                    <w:top w:val="single" w:color="auto" w:sz="6" w:space="0"/>
                    <w:left w:val="single" w:color="auto" w:sz="6" w:space="0"/>
                    <w:bottom w:val="single" w:color="auto" w:sz="6" w:space="0"/>
                    <w:right w:val="single" w:color="auto" w:sz="4" w:space="0"/>
                  </w:tcBorders>
                  <w:noWrap w:val="0"/>
                  <w:vAlign w:val="top"/>
                </w:tcPr>
                <w:p w14:paraId="4924B6FF">
                  <w:pPr>
                    <w:spacing w:line="260" w:lineRule="exact"/>
                    <w:textAlignment w:val="baseline"/>
                    <w:rPr>
                      <w:rFonts w:hint="eastAsia" w:ascii="宋体" w:hAnsi="宋体"/>
                      <w:color w:val="000000"/>
                    </w:rPr>
                  </w:pPr>
                  <w:r>
                    <w:rPr>
                      <w:rFonts w:hint="eastAsia" w:ascii="宋体" w:hAnsi="宋体"/>
                      <w:color w:val="000000"/>
                    </w:rPr>
                    <w:t>品尝泰国深受海内外华人喜欢的暹罗鱼翅美食，品尝泰国南部特长高级名贵的椰子冰糖燕窝，砂锅鱼翅。</w:t>
                  </w:r>
                </w:p>
              </w:tc>
              <w:tc>
                <w:tcPr>
                  <w:tcW w:w="993" w:type="dxa"/>
                  <w:gridSpan w:val="2"/>
                  <w:tcBorders>
                    <w:top w:val="single" w:color="auto" w:sz="6" w:space="0"/>
                    <w:left w:val="single" w:color="auto" w:sz="4" w:space="0"/>
                    <w:bottom w:val="single" w:color="auto" w:sz="6" w:space="0"/>
                    <w:right w:val="single" w:color="auto" w:sz="6" w:space="0"/>
                  </w:tcBorders>
                  <w:noWrap w:val="0"/>
                  <w:vAlign w:val="center"/>
                </w:tcPr>
                <w:p w14:paraId="0ADB0B7E">
                  <w:pPr>
                    <w:spacing w:line="260" w:lineRule="exact"/>
                    <w:textAlignment w:val="baseline"/>
                    <w:rPr>
                      <w:rFonts w:hint="eastAsia" w:ascii="宋体" w:hAnsi="宋体"/>
                      <w:color w:val="000000"/>
                    </w:rPr>
                  </w:pPr>
                  <w:r>
                    <w:rPr>
                      <w:rFonts w:hint="eastAsia" w:ascii="宋体" w:hAnsi="宋体"/>
                      <w:color w:val="000000"/>
                    </w:rPr>
                    <w:t>1200铢</w:t>
                  </w:r>
                </w:p>
              </w:tc>
            </w:tr>
            <w:tr w14:paraId="2D7B06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0" w:hRule="atLeast"/>
              </w:trPr>
              <w:tc>
                <w:tcPr>
                  <w:tcW w:w="1637" w:type="dxa"/>
                  <w:tcBorders>
                    <w:top w:val="single" w:color="auto" w:sz="6" w:space="0"/>
                    <w:left w:val="single" w:color="auto" w:sz="6" w:space="0"/>
                    <w:bottom w:val="single" w:color="auto" w:sz="6" w:space="0"/>
                    <w:right w:val="single" w:color="auto" w:sz="6" w:space="0"/>
                  </w:tcBorders>
                  <w:noWrap w:val="0"/>
                  <w:vAlign w:val="center"/>
                </w:tcPr>
                <w:p w14:paraId="7C55B809">
                  <w:pPr>
                    <w:spacing w:line="260" w:lineRule="exact"/>
                    <w:textAlignment w:val="baseline"/>
                    <w:rPr>
                      <w:rFonts w:hint="eastAsia" w:ascii="宋体" w:hAnsi="宋体"/>
                      <w:color w:val="000000"/>
                    </w:rPr>
                  </w:pPr>
                  <w:r>
                    <w:rPr>
                      <w:rFonts w:hint="eastAsia" w:ascii="宋体" w:hAnsi="宋体"/>
                      <w:color w:val="000000"/>
                    </w:rPr>
                    <w:t>富贵黄金屋</w:t>
                  </w:r>
                </w:p>
              </w:tc>
              <w:tc>
                <w:tcPr>
                  <w:tcW w:w="6904" w:type="dxa"/>
                  <w:tcBorders>
                    <w:top w:val="single" w:color="auto" w:sz="6" w:space="0"/>
                    <w:left w:val="single" w:color="auto" w:sz="6" w:space="0"/>
                    <w:bottom w:val="single" w:color="auto" w:sz="6" w:space="0"/>
                    <w:right w:val="single" w:color="auto" w:sz="4" w:space="0"/>
                  </w:tcBorders>
                  <w:noWrap w:val="0"/>
                  <w:vAlign w:val="center"/>
                </w:tcPr>
                <w:p w14:paraId="35201630">
                  <w:pPr>
                    <w:spacing w:line="260" w:lineRule="exact"/>
                    <w:textAlignment w:val="baseline"/>
                    <w:rPr>
                      <w:rFonts w:hint="eastAsia" w:ascii="宋体" w:hAnsi="宋体"/>
                      <w:color w:val="000000"/>
                    </w:rPr>
                  </w:pPr>
                  <w:r>
                    <w:rPr>
                      <w:rFonts w:hint="eastAsia" w:ascii="宋体" w:hAnsi="宋体"/>
                      <w:color w:val="000000"/>
                    </w:rPr>
                    <w:t>泰国芭堤雅第一首富花重金14亿泰铢建造的一个真正富丽堂皇的风水宝地私家庄园，观看纯金望海观音金佛宝殿，体验真正有钱人的奢华生活，吸收首富财运。台湾连续剧“流星花园”曾经在里面拍摄。</w:t>
                  </w:r>
                </w:p>
              </w:tc>
              <w:tc>
                <w:tcPr>
                  <w:tcW w:w="993" w:type="dxa"/>
                  <w:gridSpan w:val="2"/>
                  <w:tcBorders>
                    <w:top w:val="single" w:color="auto" w:sz="6" w:space="0"/>
                    <w:left w:val="single" w:color="auto" w:sz="4" w:space="0"/>
                    <w:bottom w:val="single" w:color="auto" w:sz="6" w:space="0"/>
                    <w:right w:val="single" w:color="auto" w:sz="6" w:space="0"/>
                  </w:tcBorders>
                  <w:noWrap w:val="0"/>
                  <w:vAlign w:val="center"/>
                </w:tcPr>
                <w:p w14:paraId="7929B24B">
                  <w:pPr>
                    <w:spacing w:line="260" w:lineRule="exact"/>
                    <w:textAlignment w:val="baseline"/>
                    <w:rPr>
                      <w:rFonts w:hint="eastAsia" w:ascii="宋体" w:hAnsi="宋体"/>
                      <w:color w:val="000000"/>
                    </w:rPr>
                  </w:pPr>
                  <w:r>
                    <w:rPr>
                      <w:rFonts w:hint="eastAsia" w:ascii="宋体" w:hAnsi="宋体"/>
                      <w:color w:val="000000"/>
                    </w:rPr>
                    <w:t>1200铢</w:t>
                  </w:r>
                </w:p>
              </w:tc>
            </w:tr>
            <w:tr w14:paraId="7314D4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0" w:hRule="atLeast"/>
              </w:trPr>
              <w:tc>
                <w:tcPr>
                  <w:tcW w:w="9534" w:type="dxa"/>
                  <w:gridSpan w:val="4"/>
                  <w:tcBorders>
                    <w:top w:val="single" w:color="auto" w:sz="6" w:space="0"/>
                    <w:left w:val="nil"/>
                    <w:bottom w:val="single" w:color="auto" w:sz="6" w:space="0"/>
                    <w:right w:val="nil"/>
                  </w:tcBorders>
                  <w:noWrap w:val="0"/>
                  <w:vAlign w:val="center"/>
                </w:tcPr>
                <w:p w14:paraId="24662F92">
                  <w:pPr>
                    <w:spacing w:line="260" w:lineRule="exact"/>
                    <w:textAlignment w:val="baseline"/>
                    <w:rPr>
                      <w:rFonts w:hint="eastAsia" w:ascii="宋体" w:hAnsi="宋体"/>
                      <w:color w:val="000000"/>
                    </w:rPr>
                  </w:pPr>
                </w:p>
                <w:p w14:paraId="5D37D6D2">
                  <w:pPr>
                    <w:rPr>
                      <w:rFonts w:hint="eastAsia" w:ascii="宋体" w:hAnsi="宋体"/>
                      <w:b/>
                      <w:color w:val="000000"/>
                      <w:sz w:val="18"/>
                      <w:szCs w:val="18"/>
                    </w:rPr>
                  </w:pPr>
                  <w:r>
                    <w:rPr>
                      <w:rFonts w:hint="eastAsia" w:ascii="宋体" w:hAnsi="宋体"/>
                      <w:b/>
                      <w:color w:val="000000"/>
                      <w:sz w:val="18"/>
                      <w:szCs w:val="18"/>
                    </w:rPr>
                    <w:t>芭堤雅夜间五大金刚</w:t>
                  </w:r>
                </w:p>
                <w:p w14:paraId="36A5E0AF">
                  <w:pPr>
                    <w:spacing w:line="260" w:lineRule="exact"/>
                    <w:textAlignment w:val="baseline"/>
                    <w:rPr>
                      <w:rFonts w:hint="eastAsia" w:ascii="宋体" w:hAnsi="宋体"/>
                      <w:color w:val="000000"/>
                    </w:rPr>
                  </w:pPr>
                </w:p>
              </w:tc>
            </w:tr>
            <w:tr w14:paraId="77E232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2" w:hRule="atLeast"/>
              </w:trPr>
              <w:tc>
                <w:tcPr>
                  <w:tcW w:w="1637" w:type="dxa"/>
                  <w:tcBorders>
                    <w:top w:val="single" w:color="auto" w:sz="6" w:space="0"/>
                    <w:left w:val="single" w:color="auto" w:sz="6" w:space="0"/>
                    <w:bottom w:val="single" w:color="auto" w:sz="6" w:space="0"/>
                    <w:right w:val="single" w:color="auto" w:sz="6" w:space="0"/>
                  </w:tcBorders>
                  <w:noWrap w:val="0"/>
                  <w:vAlign w:val="center"/>
                </w:tcPr>
                <w:p w14:paraId="2E7A64C8">
                  <w:pPr>
                    <w:spacing w:line="260" w:lineRule="exact"/>
                    <w:textAlignment w:val="baseline"/>
                    <w:rPr>
                      <w:rFonts w:hint="eastAsia" w:ascii="宋体" w:hAnsi="宋体"/>
                      <w:color w:val="000000"/>
                    </w:rPr>
                  </w:pPr>
                  <w:r>
                    <w:rPr>
                      <w:rFonts w:hint="eastAsia" w:ascii="宋体" w:hAnsi="宋体"/>
                      <w:color w:val="000000"/>
                    </w:rPr>
                    <w:t>亚洲一绝表演</w:t>
                  </w:r>
                </w:p>
              </w:tc>
              <w:tc>
                <w:tcPr>
                  <w:tcW w:w="6914" w:type="dxa"/>
                  <w:gridSpan w:val="2"/>
                  <w:tcBorders>
                    <w:top w:val="single" w:color="auto" w:sz="6" w:space="0"/>
                    <w:left w:val="single" w:color="auto" w:sz="6" w:space="0"/>
                    <w:bottom w:val="single" w:color="auto" w:sz="6" w:space="0"/>
                    <w:right w:val="single" w:color="auto" w:sz="4" w:space="0"/>
                  </w:tcBorders>
                  <w:noWrap w:val="0"/>
                  <w:vAlign w:val="top"/>
                </w:tcPr>
                <w:p w14:paraId="20B295DD">
                  <w:pPr>
                    <w:spacing w:line="260" w:lineRule="exact"/>
                    <w:textAlignment w:val="baseline"/>
                    <w:rPr>
                      <w:rFonts w:hint="eastAsia" w:ascii="宋体" w:hAnsi="宋体"/>
                      <w:color w:val="000000"/>
                    </w:rPr>
                  </w:pPr>
                  <w:r>
                    <w:rPr>
                      <w:rFonts w:hint="eastAsia" w:ascii="宋体" w:hAnsi="宋体"/>
                      <w:color w:val="000000"/>
                    </w:rPr>
                    <w:t>世界闻名双簧秀，荣获泰国第一名，发挥少女人体潜能，突破女性局限，场场软气功，步步出奇招，紧张，刺激，充满浪漫激情，意想不到，叹为观止，旅游情趣，悠然而生。</w:t>
                  </w:r>
                </w:p>
              </w:tc>
              <w:tc>
                <w:tcPr>
                  <w:tcW w:w="983" w:type="dxa"/>
                  <w:tcBorders>
                    <w:top w:val="single" w:color="auto" w:sz="6" w:space="0"/>
                    <w:left w:val="single" w:color="auto" w:sz="4" w:space="0"/>
                    <w:bottom w:val="single" w:color="auto" w:sz="6" w:space="0"/>
                    <w:right w:val="single" w:color="auto" w:sz="6" w:space="0"/>
                  </w:tcBorders>
                  <w:noWrap w:val="0"/>
                  <w:vAlign w:val="center"/>
                </w:tcPr>
                <w:p w14:paraId="66A48828">
                  <w:pPr>
                    <w:spacing w:line="260" w:lineRule="exact"/>
                    <w:textAlignment w:val="baseline"/>
                    <w:rPr>
                      <w:rFonts w:hint="eastAsia" w:ascii="宋体" w:hAnsi="宋体"/>
                      <w:color w:val="000000"/>
                    </w:rPr>
                  </w:pPr>
                  <w:r>
                    <w:rPr>
                      <w:rFonts w:hint="eastAsia" w:ascii="宋体" w:hAnsi="宋体"/>
                      <w:color w:val="000000"/>
                    </w:rPr>
                    <w:t>1500铢</w:t>
                  </w:r>
                </w:p>
              </w:tc>
            </w:tr>
            <w:tr w14:paraId="33841E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2" w:hRule="atLeast"/>
              </w:trPr>
              <w:tc>
                <w:tcPr>
                  <w:tcW w:w="1637" w:type="dxa"/>
                  <w:tcBorders>
                    <w:top w:val="single" w:color="auto" w:sz="6" w:space="0"/>
                    <w:left w:val="single" w:color="auto" w:sz="6" w:space="0"/>
                    <w:bottom w:val="single" w:color="auto" w:sz="6" w:space="0"/>
                    <w:right w:val="single" w:color="auto" w:sz="6" w:space="0"/>
                  </w:tcBorders>
                  <w:noWrap w:val="0"/>
                  <w:vAlign w:val="center"/>
                </w:tcPr>
                <w:p w14:paraId="007CC173">
                  <w:pPr>
                    <w:spacing w:line="260" w:lineRule="exact"/>
                    <w:textAlignment w:val="baseline"/>
                    <w:rPr>
                      <w:rFonts w:hint="eastAsia" w:ascii="宋体" w:hAnsi="宋体"/>
                      <w:color w:val="000000"/>
                    </w:rPr>
                  </w:pPr>
                  <w:r>
                    <w:rPr>
                      <w:rFonts w:hint="eastAsia" w:ascii="宋体" w:hAnsi="宋体"/>
                      <w:color w:val="000000"/>
                    </w:rPr>
                    <w:t>泰浴模特儿表演</w:t>
                  </w:r>
                </w:p>
              </w:tc>
              <w:tc>
                <w:tcPr>
                  <w:tcW w:w="6914" w:type="dxa"/>
                  <w:gridSpan w:val="2"/>
                  <w:tcBorders>
                    <w:top w:val="single" w:color="auto" w:sz="6" w:space="0"/>
                    <w:left w:val="single" w:color="auto" w:sz="6" w:space="0"/>
                    <w:bottom w:val="single" w:color="auto" w:sz="6" w:space="0"/>
                    <w:right w:val="single" w:color="auto" w:sz="4" w:space="0"/>
                  </w:tcBorders>
                  <w:noWrap w:val="0"/>
                  <w:vAlign w:val="top"/>
                </w:tcPr>
                <w:p w14:paraId="224B4E5B">
                  <w:pPr>
                    <w:spacing w:line="260" w:lineRule="exact"/>
                    <w:textAlignment w:val="baseline"/>
                    <w:rPr>
                      <w:rFonts w:hint="eastAsia" w:ascii="宋体" w:hAnsi="宋体"/>
                      <w:color w:val="000000"/>
                    </w:rPr>
                  </w:pPr>
                  <w:r>
                    <w:rPr>
                      <w:rFonts w:hint="eastAsia" w:ascii="宋体" w:hAnsi="宋体"/>
                      <w:color w:val="000000"/>
                    </w:rPr>
                    <w:t>欣赏泰国模特儿超境界，为艺术之奉献表演，美丽多姿尤物身材，投怀送抱，帝王浴的艳女伴浴激动人心，难以平静，回味无穷。</w:t>
                  </w:r>
                </w:p>
              </w:tc>
              <w:tc>
                <w:tcPr>
                  <w:tcW w:w="983" w:type="dxa"/>
                  <w:tcBorders>
                    <w:top w:val="single" w:color="auto" w:sz="6" w:space="0"/>
                    <w:left w:val="single" w:color="auto" w:sz="4" w:space="0"/>
                    <w:bottom w:val="single" w:color="auto" w:sz="6" w:space="0"/>
                    <w:right w:val="single" w:color="auto" w:sz="6" w:space="0"/>
                  </w:tcBorders>
                  <w:noWrap w:val="0"/>
                  <w:vAlign w:val="center"/>
                </w:tcPr>
                <w:p w14:paraId="327FED72">
                  <w:pPr>
                    <w:spacing w:line="260" w:lineRule="exact"/>
                    <w:textAlignment w:val="baseline"/>
                    <w:rPr>
                      <w:rFonts w:hint="eastAsia" w:ascii="宋体" w:hAnsi="宋体"/>
                      <w:color w:val="000000"/>
                    </w:rPr>
                  </w:pPr>
                  <w:r>
                    <w:rPr>
                      <w:rFonts w:hint="eastAsia" w:ascii="宋体" w:hAnsi="宋体"/>
                      <w:color w:val="000000"/>
                    </w:rPr>
                    <w:t>1500铢</w:t>
                  </w:r>
                </w:p>
              </w:tc>
            </w:tr>
            <w:tr w14:paraId="1B0C99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3" w:hRule="atLeast"/>
              </w:trPr>
              <w:tc>
                <w:tcPr>
                  <w:tcW w:w="1637" w:type="dxa"/>
                  <w:tcBorders>
                    <w:top w:val="single" w:color="auto" w:sz="6" w:space="0"/>
                    <w:left w:val="single" w:color="auto" w:sz="6" w:space="0"/>
                    <w:bottom w:val="single" w:color="auto" w:sz="6" w:space="0"/>
                    <w:right w:val="single" w:color="auto" w:sz="6" w:space="0"/>
                  </w:tcBorders>
                  <w:noWrap w:val="0"/>
                  <w:vAlign w:val="center"/>
                </w:tcPr>
                <w:p w14:paraId="7C7BFCC3">
                  <w:pPr>
                    <w:spacing w:line="260" w:lineRule="exact"/>
                    <w:textAlignment w:val="baseline"/>
                    <w:rPr>
                      <w:rFonts w:hint="eastAsia" w:ascii="宋体" w:hAnsi="宋体"/>
                      <w:color w:val="000000"/>
                    </w:rPr>
                  </w:pPr>
                  <w:r>
                    <w:rPr>
                      <w:rFonts w:hint="eastAsia" w:ascii="宋体" w:hAnsi="宋体"/>
                      <w:color w:val="000000"/>
                    </w:rPr>
                    <w:t>梦幻金丝猫表演</w:t>
                  </w:r>
                </w:p>
              </w:tc>
              <w:tc>
                <w:tcPr>
                  <w:tcW w:w="6914" w:type="dxa"/>
                  <w:gridSpan w:val="2"/>
                  <w:tcBorders>
                    <w:top w:val="single" w:color="auto" w:sz="6" w:space="0"/>
                    <w:left w:val="single" w:color="auto" w:sz="6" w:space="0"/>
                    <w:bottom w:val="single" w:color="auto" w:sz="6" w:space="0"/>
                    <w:right w:val="single" w:color="auto" w:sz="4" w:space="0"/>
                  </w:tcBorders>
                  <w:noWrap w:val="0"/>
                  <w:vAlign w:val="top"/>
                </w:tcPr>
                <w:p w14:paraId="6359CE72">
                  <w:pPr>
                    <w:spacing w:line="260" w:lineRule="exact"/>
                    <w:textAlignment w:val="baseline"/>
                    <w:rPr>
                      <w:rFonts w:hint="eastAsia" w:ascii="宋体" w:hAnsi="宋体"/>
                      <w:color w:val="000000"/>
                    </w:rPr>
                  </w:pPr>
                  <w:r>
                    <w:rPr>
                      <w:rFonts w:hint="eastAsia" w:ascii="宋体" w:hAnsi="宋体"/>
                      <w:color w:val="000000"/>
                    </w:rPr>
                    <w:t>金发披肩、秋波送暖、欣赏气质非凡的西洋美女，倾国倾城一幕一幕尽收眼底。</w:t>
                  </w:r>
                </w:p>
              </w:tc>
              <w:tc>
                <w:tcPr>
                  <w:tcW w:w="983" w:type="dxa"/>
                  <w:tcBorders>
                    <w:top w:val="single" w:color="auto" w:sz="6" w:space="0"/>
                    <w:left w:val="single" w:color="auto" w:sz="4" w:space="0"/>
                    <w:bottom w:val="single" w:color="auto" w:sz="6" w:space="0"/>
                    <w:right w:val="single" w:color="auto" w:sz="6" w:space="0"/>
                  </w:tcBorders>
                  <w:noWrap w:val="0"/>
                  <w:vAlign w:val="center"/>
                </w:tcPr>
                <w:p w14:paraId="22F44DAD">
                  <w:pPr>
                    <w:spacing w:line="260" w:lineRule="exact"/>
                    <w:textAlignment w:val="baseline"/>
                    <w:rPr>
                      <w:rFonts w:hint="eastAsia" w:ascii="宋体" w:hAnsi="宋体"/>
                      <w:color w:val="000000"/>
                    </w:rPr>
                  </w:pPr>
                  <w:r>
                    <w:rPr>
                      <w:rFonts w:hint="eastAsia" w:ascii="宋体" w:hAnsi="宋体"/>
                      <w:color w:val="000000"/>
                    </w:rPr>
                    <w:t>1500铢</w:t>
                  </w:r>
                </w:p>
              </w:tc>
            </w:tr>
            <w:tr w14:paraId="1B68A1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3" w:hRule="atLeast"/>
              </w:trPr>
              <w:tc>
                <w:tcPr>
                  <w:tcW w:w="1637" w:type="dxa"/>
                  <w:tcBorders>
                    <w:top w:val="single" w:color="auto" w:sz="6" w:space="0"/>
                    <w:left w:val="single" w:color="auto" w:sz="6" w:space="0"/>
                    <w:bottom w:val="single" w:color="auto" w:sz="6" w:space="0"/>
                    <w:right w:val="single" w:color="auto" w:sz="6" w:space="0"/>
                  </w:tcBorders>
                  <w:noWrap w:val="0"/>
                  <w:vAlign w:val="center"/>
                </w:tcPr>
                <w:p w14:paraId="1D75F8C9">
                  <w:pPr>
                    <w:spacing w:line="260" w:lineRule="exact"/>
                    <w:textAlignment w:val="baseline"/>
                    <w:rPr>
                      <w:rFonts w:hint="eastAsia" w:ascii="宋体" w:hAnsi="宋体"/>
                      <w:color w:val="000000"/>
                    </w:rPr>
                  </w:pPr>
                  <w:r>
                    <w:rPr>
                      <w:rFonts w:hint="eastAsia" w:ascii="宋体" w:hAnsi="宋体"/>
                      <w:color w:val="000000"/>
                    </w:rPr>
                    <w:t>一枝独秀表演</w:t>
                  </w:r>
                </w:p>
              </w:tc>
              <w:tc>
                <w:tcPr>
                  <w:tcW w:w="6914" w:type="dxa"/>
                  <w:gridSpan w:val="2"/>
                  <w:tcBorders>
                    <w:top w:val="single" w:color="auto" w:sz="6" w:space="0"/>
                    <w:left w:val="single" w:color="auto" w:sz="6" w:space="0"/>
                    <w:bottom w:val="single" w:color="auto" w:sz="6" w:space="0"/>
                    <w:right w:val="single" w:color="auto" w:sz="4" w:space="0"/>
                  </w:tcBorders>
                  <w:noWrap w:val="0"/>
                  <w:vAlign w:val="top"/>
                </w:tcPr>
                <w:p w14:paraId="2740C226">
                  <w:pPr>
                    <w:spacing w:line="260" w:lineRule="exact"/>
                    <w:textAlignment w:val="baseline"/>
                    <w:rPr>
                      <w:rFonts w:hint="eastAsia" w:ascii="宋体" w:hAnsi="宋体"/>
                      <w:color w:val="000000"/>
                    </w:rPr>
                  </w:pPr>
                  <w:r>
                    <w:rPr>
                      <w:rFonts w:hint="eastAsia" w:ascii="宋体" w:hAnsi="宋体"/>
                      <w:color w:val="000000"/>
                    </w:rPr>
                    <w:t>世界上独一无二，突破传统，展示男性雄风的各种姿势，特技的表演。</w:t>
                  </w:r>
                </w:p>
              </w:tc>
              <w:tc>
                <w:tcPr>
                  <w:tcW w:w="983" w:type="dxa"/>
                  <w:tcBorders>
                    <w:top w:val="single" w:color="auto" w:sz="6" w:space="0"/>
                    <w:left w:val="single" w:color="auto" w:sz="4" w:space="0"/>
                    <w:bottom w:val="single" w:color="auto" w:sz="6" w:space="0"/>
                    <w:right w:val="single" w:color="auto" w:sz="6" w:space="0"/>
                  </w:tcBorders>
                  <w:noWrap w:val="0"/>
                  <w:vAlign w:val="center"/>
                </w:tcPr>
                <w:p w14:paraId="1CEC9CB0">
                  <w:pPr>
                    <w:spacing w:line="260" w:lineRule="exact"/>
                    <w:textAlignment w:val="baseline"/>
                    <w:rPr>
                      <w:rFonts w:hint="eastAsia" w:ascii="宋体" w:hAnsi="宋体"/>
                      <w:color w:val="000000"/>
                    </w:rPr>
                  </w:pPr>
                  <w:r>
                    <w:rPr>
                      <w:rFonts w:hint="eastAsia" w:ascii="宋体" w:hAnsi="宋体"/>
                      <w:color w:val="000000"/>
                    </w:rPr>
                    <w:t>1500铢</w:t>
                  </w:r>
                </w:p>
              </w:tc>
            </w:tr>
            <w:tr w14:paraId="59BC25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6" w:hRule="atLeast"/>
              </w:trPr>
              <w:tc>
                <w:tcPr>
                  <w:tcW w:w="1637" w:type="dxa"/>
                  <w:tcBorders>
                    <w:top w:val="single" w:color="auto" w:sz="6" w:space="0"/>
                    <w:left w:val="single" w:color="auto" w:sz="6" w:space="0"/>
                    <w:bottom w:val="single" w:color="auto" w:sz="6" w:space="0"/>
                    <w:right w:val="single" w:color="auto" w:sz="6" w:space="0"/>
                  </w:tcBorders>
                  <w:noWrap w:val="0"/>
                  <w:vAlign w:val="center"/>
                </w:tcPr>
                <w:p w14:paraId="5C3F527C">
                  <w:pPr>
                    <w:spacing w:line="260" w:lineRule="exact"/>
                    <w:textAlignment w:val="baseline"/>
                    <w:rPr>
                      <w:rFonts w:hint="eastAsia" w:ascii="宋体" w:hAnsi="宋体"/>
                      <w:color w:val="000000"/>
                    </w:rPr>
                  </w:pPr>
                  <w:r>
                    <w:rPr>
                      <w:rFonts w:hint="eastAsia" w:ascii="宋体" w:hAnsi="宋体"/>
                      <w:color w:val="000000"/>
                    </w:rPr>
                    <w:t>三合一龙凤表演</w:t>
                  </w:r>
                </w:p>
                <w:p w14:paraId="074FB707">
                  <w:pPr>
                    <w:spacing w:line="260" w:lineRule="exact"/>
                    <w:textAlignment w:val="baseline"/>
                    <w:rPr>
                      <w:rFonts w:hint="eastAsia" w:ascii="宋体" w:hAnsi="宋体"/>
                      <w:color w:val="000000"/>
                    </w:rPr>
                  </w:pPr>
                  <w:r>
                    <w:rPr>
                      <w:rFonts w:hint="eastAsia" w:ascii="宋体" w:hAnsi="宋体"/>
                      <w:color w:val="000000"/>
                    </w:rPr>
                    <w:t>（秀中之王）</w:t>
                  </w:r>
                </w:p>
              </w:tc>
              <w:tc>
                <w:tcPr>
                  <w:tcW w:w="6914" w:type="dxa"/>
                  <w:gridSpan w:val="2"/>
                  <w:tcBorders>
                    <w:top w:val="single" w:color="auto" w:sz="6" w:space="0"/>
                    <w:left w:val="single" w:color="auto" w:sz="6" w:space="0"/>
                    <w:bottom w:val="single" w:color="auto" w:sz="6" w:space="0"/>
                    <w:right w:val="single" w:color="auto" w:sz="4" w:space="0"/>
                  </w:tcBorders>
                  <w:noWrap w:val="0"/>
                  <w:vAlign w:val="center"/>
                </w:tcPr>
                <w:p w14:paraId="64D4BC94">
                  <w:pPr>
                    <w:spacing w:line="260" w:lineRule="exact"/>
                    <w:textAlignment w:val="baseline"/>
                    <w:rPr>
                      <w:rFonts w:hint="eastAsia" w:ascii="宋体" w:hAnsi="宋体"/>
                      <w:color w:val="000000"/>
                    </w:rPr>
                  </w:pPr>
                  <w:r>
                    <w:rPr>
                      <w:rFonts w:hint="eastAsia" w:ascii="宋体" w:hAnsi="宋体"/>
                      <w:color w:val="000000"/>
                    </w:rPr>
                    <w:t>龙中之龙、凤中之凤、龙斗凤、凤缠龙、十八招三十六套，真枪实弹，精彩绝伦。</w:t>
                  </w:r>
                </w:p>
              </w:tc>
              <w:tc>
                <w:tcPr>
                  <w:tcW w:w="983" w:type="dxa"/>
                  <w:tcBorders>
                    <w:top w:val="single" w:color="auto" w:sz="6" w:space="0"/>
                    <w:left w:val="single" w:color="auto" w:sz="4" w:space="0"/>
                    <w:bottom w:val="single" w:color="auto" w:sz="6" w:space="0"/>
                    <w:right w:val="single" w:color="auto" w:sz="6" w:space="0"/>
                  </w:tcBorders>
                  <w:noWrap w:val="0"/>
                  <w:vAlign w:val="center"/>
                </w:tcPr>
                <w:p w14:paraId="3E92C51D">
                  <w:pPr>
                    <w:spacing w:line="260" w:lineRule="exact"/>
                    <w:textAlignment w:val="baseline"/>
                    <w:rPr>
                      <w:rFonts w:hint="eastAsia" w:ascii="宋体" w:hAnsi="宋体"/>
                      <w:color w:val="000000"/>
                    </w:rPr>
                  </w:pPr>
                  <w:r>
                    <w:rPr>
                      <w:rFonts w:hint="eastAsia" w:ascii="宋体" w:hAnsi="宋体"/>
                      <w:color w:val="000000"/>
                    </w:rPr>
                    <w:t>1500铢</w:t>
                  </w:r>
                </w:p>
              </w:tc>
            </w:tr>
          </w:tbl>
          <w:p w14:paraId="346F287D">
            <w:pPr>
              <w:spacing w:line="320" w:lineRule="exact"/>
              <w:rPr>
                <w:rFonts w:hint="eastAsia" w:ascii="微软雅黑" w:hAnsi="微软雅黑" w:eastAsia="微软雅黑"/>
                <w:bCs/>
                <w:color w:val="000000"/>
                <w:sz w:val="18"/>
                <w:szCs w:val="18"/>
              </w:rPr>
            </w:pPr>
          </w:p>
        </w:tc>
      </w:tr>
      <w:tr w14:paraId="107BCFFC">
        <w:tblPrEx>
          <w:tblBorders>
            <w:top w:val="single" w:color="7B7B7B" w:themeColor="accent3" w:themeShade="BF" w:sz="8" w:space="0"/>
            <w:left w:val="single" w:color="7B7B7B" w:themeColor="accent3" w:themeShade="BF" w:sz="8" w:space="0"/>
            <w:bottom w:val="single" w:color="7B7B7B" w:themeColor="accent3" w:themeShade="BF" w:sz="8" w:space="0"/>
            <w:right w:val="single" w:color="7B7B7B" w:themeColor="accent3" w:themeShade="BF" w:sz="8" w:space="0"/>
            <w:insideH w:val="single" w:color="7B7B7B" w:themeColor="accent3" w:themeShade="BF" w:sz="8" w:space="0"/>
            <w:insideV w:val="single" w:color="7B7B7B" w:themeColor="accent3" w:themeShade="BF" w:sz="8" w:space="0"/>
          </w:tblBorders>
          <w:shd w:val="clear" w:color="auto" w:fill="FFFFFF"/>
          <w:tblCellMar>
            <w:top w:w="0" w:type="dxa"/>
            <w:left w:w="108" w:type="dxa"/>
            <w:bottom w:w="0" w:type="dxa"/>
            <w:right w:w="108" w:type="dxa"/>
          </w:tblCellMar>
        </w:tblPrEx>
        <w:trPr>
          <w:gridAfter w:val="1"/>
          <w:wAfter w:w="322" w:type="dxa"/>
          <w:trHeight w:val="1884" w:hRule="atLeast"/>
          <w:jc w:val="center"/>
        </w:trPr>
        <w:tc>
          <w:tcPr>
            <w:tcW w:w="9720" w:type="dxa"/>
            <w:gridSpan w:val="3"/>
            <w:tcBorders>
              <w:tl2br w:val="nil"/>
              <w:tr2bl w:val="nil"/>
            </w:tcBorders>
            <w:shd w:val="clear" w:color="auto" w:fill="FFFFFF"/>
            <w:noWrap w:val="0"/>
            <w:vAlign w:val="top"/>
          </w:tcPr>
          <w:p w14:paraId="4709B114">
            <w:pPr>
              <w:ind w:left="797" w:hanging="797" w:hangingChars="441"/>
              <w:rPr>
                <w:rFonts w:hint="eastAsia" w:ascii="宋体" w:hAnsi="宋体"/>
                <w:b/>
                <w:sz w:val="18"/>
                <w:szCs w:val="18"/>
              </w:rPr>
            </w:pPr>
            <w:r>
              <w:rPr>
                <w:rFonts w:hint="eastAsia" w:ascii="宋体" w:hAnsi="宋体"/>
                <w:b/>
                <w:sz w:val="18"/>
                <w:szCs w:val="18"/>
              </w:rPr>
              <w:t>注意事项</w:t>
            </w:r>
            <w:r>
              <w:rPr>
                <w:rFonts w:ascii="宋体" w:hAnsi="宋体"/>
                <w:b/>
                <w:sz w:val="18"/>
                <w:szCs w:val="18"/>
              </w:rPr>
              <w:t>：</w:t>
            </w:r>
          </w:p>
          <w:p w14:paraId="11791013">
            <w:pPr>
              <w:spacing w:line="320" w:lineRule="exact"/>
              <w:rPr>
                <w:rFonts w:ascii="微软雅黑" w:hAnsi="微软雅黑" w:eastAsia="微软雅黑"/>
                <w:bCs/>
                <w:color w:val="000000"/>
                <w:sz w:val="18"/>
                <w:szCs w:val="18"/>
              </w:rPr>
            </w:pPr>
            <w:r>
              <w:rPr>
                <w:rFonts w:hint="eastAsia" w:ascii="微软雅黑" w:hAnsi="微软雅黑" w:eastAsia="微软雅黑"/>
                <w:bCs/>
                <w:color w:val="000000"/>
                <w:sz w:val="18"/>
                <w:szCs w:val="18"/>
              </w:rPr>
              <w:t>1、</w:t>
            </w:r>
            <w:r>
              <w:rPr>
                <w:rFonts w:hint="eastAsia" w:ascii="微软雅黑" w:hAnsi="微软雅黑" w:eastAsia="微软雅黑"/>
                <w:bCs/>
                <w:color w:val="000000"/>
                <w:sz w:val="18"/>
                <w:szCs w:val="18"/>
              </w:rPr>
              <w:tab/>
            </w:r>
            <w:r>
              <w:rPr>
                <w:rFonts w:hint="eastAsia" w:ascii="微软雅黑" w:hAnsi="微软雅黑" w:eastAsia="微软雅黑"/>
                <w:bCs/>
                <w:color w:val="000000"/>
                <w:sz w:val="18"/>
                <w:szCs w:val="18"/>
              </w:rPr>
              <w:t>天 气：泰国属热带季风气侯。一年分为三季：3至6月为热季；7至10月为雨季；11月至次2月为凉季。4月是最热的月份。全年的平均气温为28摄氏度，平均湿度为66%至82%。到泰国旅游的最佳季节是11月至3月，雨水较少，天气相对凉爽。</w:t>
            </w:r>
          </w:p>
          <w:p w14:paraId="74EB287F">
            <w:pPr>
              <w:spacing w:line="320" w:lineRule="exact"/>
              <w:rPr>
                <w:rFonts w:ascii="微软雅黑" w:hAnsi="微软雅黑" w:eastAsia="微软雅黑"/>
                <w:bCs/>
                <w:color w:val="000000"/>
                <w:sz w:val="18"/>
                <w:szCs w:val="18"/>
              </w:rPr>
            </w:pPr>
            <w:r>
              <w:rPr>
                <w:rFonts w:hint="eastAsia" w:ascii="微软雅黑" w:hAnsi="微软雅黑" w:eastAsia="微软雅黑"/>
                <w:bCs/>
                <w:color w:val="000000"/>
                <w:sz w:val="18"/>
                <w:szCs w:val="18"/>
              </w:rPr>
              <w:t>2、衣 着：全年可穿着简单夏季服装，泰国沙滩海景十分迷人，喜好游泳者，请自带泳衣、泳裤，泰国夜间及空调车较凉，请带上一件外套御寒。</w:t>
            </w:r>
          </w:p>
          <w:p w14:paraId="363FD15C">
            <w:pPr>
              <w:spacing w:line="320" w:lineRule="exact"/>
              <w:rPr>
                <w:rFonts w:ascii="微软雅黑" w:hAnsi="微软雅黑" w:eastAsia="微软雅黑"/>
                <w:bCs/>
                <w:color w:val="000000"/>
                <w:sz w:val="18"/>
                <w:szCs w:val="18"/>
              </w:rPr>
            </w:pPr>
            <w:r>
              <w:rPr>
                <w:rFonts w:hint="eastAsia" w:ascii="微软雅黑" w:hAnsi="微软雅黑" w:eastAsia="微软雅黑"/>
                <w:bCs/>
                <w:color w:val="000000"/>
                <w:sz w:val="18"/>
                <w:szCs w:val="18"/>
              </w:rPr>
              <w:t>3、时 差：比中国慢一小时。</w:t>
            </w:r>
          </w:p>
          <w:p w14:paraId="2A169AF4">
            <w:pPr>
              <w:spacing w:line="320" w:lineRule="exact"/>
              <w:rPr>
                <w:rFonts w:ascii="微软雅黑" w:hAnsi="微软雅黑" w:eastAsia="微软雅黑"/>
                <w:bCs/>
                <w:color w:val="000000"/>
                <w:sz w:val="18"/>
                <w:szCs w:val="18"/>
              </w:rPr>
            </w:pPr>
            <w:r>
              <w:rPr>
                <w:rFonts w:hint="eastAsia" w:ascii="微软雅黑" w:hAnsi="微软雅黑" w:eastAsia="微软雅黑"/>
                <w:bCs/>
                <w:color w:val="000000"/>
                <w:sz w:val="18"/>
                <w:szCs w:val="18"/>
              </w:rPr>
              <w:t>4、电 压：220伏特，插头为两脚扁插。</w:t>
            </w:r>
          </w:p>
          <w:p w14:paraId="4A7F9DF6">
            <w:pPr>
              <w:spacing w:line="320" w:lineRule="exact"/>
              <w:rPr>
                <w:rFonts w:ascii="微软雅黑" w:hAnsi="微软雅黑" w:eastAsia="微软雅黑"/>
                <w:bCs/>
                <w:color w:val="000000"/>
                <w:sz w:val="18"/>
                <w:szCs w:val="18"/>
              </w:rPr>
            </w:pPr>
            <w:r>
              <w:rPr>
                <w:rFonts w:hint="eastAsia" w:ascii="微软雅黑" w:hAnsi="微软雅黑" w:eastAsia="微软雅黑"/>
                <w:bCs/>
                <w:color w:val="000000"/>
                <w:sz w:val="18"/>
                <w:szCs w:val="18"/>
              </w:rPr>
              <w:t>5、货 币：泰国货币单位为“铢”（Baht），汇率约为1：4.5（参考价），即人民币100元兑换泰铢450铢，汇率仅供参考。当地导游提供兑换服务。但即使是人民币也可以在泰国当地轻易的兑换到泰铢。而持有“Master card或Visa card”标志的中国信用卡也能够在多数的大商场刷卡。</w:t>
            </w:r>
          </w:p>
          <w:p w14:paraId="107B8A2A">
            <w:pPr>
              <w:spacing w:line="320" w:lineRule="exact"/>
              <w:rPr>
                <w:rFonts w:ascii="微软雅黑" w:hAnsi="微软雅黑" w:eastAsia="微软雅黑"/>
                <w:bCs/>
                <w:color w:val="000000"/>
                <w:sz w:val="18"/>
                <w:szCs w:val="18"/>
              </w:rPr>
            </w:pPr>
            <w:r>
              <w:rPr>
                <w:rFonts w:hint="eastAsia" w:ascii="微软雅黑" w:hAnsi="微软雅黑" w:eastAsia="微软雅黑"/>
                <w:bCs/>
                <w:color w:val="000000"/>
                <w:sz w:val="18"/>
                <w:szCs w:val="18"/>
              </w:rPr>
              <w:t>6、语 言：主要为泰语及潮语，英语只有在酒店适用。</w:t>
            </w:r>
          </w:p>
          <w:p w14:paraId="68D3F50B">
            <w:pPr>
              <w:spacing w:line="320" w:lineRule="exact"/>
              <w:rPr>
                <w:rFonts w:ascii="微软雅黑" w:hAnsi="微软雅黑" w:eastAsia="微软雅黑"/>
                <w:bCs/>
                <w:color w:val="000000"/>
                <w:sz w:val="18"/>
                <w:szCs w:val="18"/>
              </w:rPr>
            </w:pPr>
            <w:r>
              <w:rPr>
                <w:rFonts w:hint="eastAsia" w:ascii="微软雅黑" w:hAnsi="微软雅黑" w:eastAsia="微软雅黑"/>
                <w:bCs/>
                <w:color w:val="000000"/>
                <w:sz w:val="18"/>
                <w:szCs w:val="18"/>
              </w:rPr>
              <w:t>7、日用品：因环保要求，酒店房间一般不配牙刷、牙膏、梳子、拖鞋等，请各自携带。</w:t>
            </w:r>
          </w:p>
          <w:p w14:paraId="7466D4AF">
            <w:pPr>
              <w:spacing w:line="320" w:lineRule="exact"/>
              <w:rPr>
                <w:rFonts w:ascii="微软雅黑" w:hAnsi="微软雅黑" w:eastAsia="微软雅黑"/>
                <w:bCs/>
                <w:color w:val="000000"/>
                <w:sz w:val="18"/>
                <w:szCs w:val="18"/>
              </w:rPr>
            </w:pPr>
            <w:r>
              <w:rPr>
                <w:rFonts w:hint="eastAsia" w:ascii="微软雅黑" w:hAnsi="微软雅黑" w:eastAsia="微软雅黑"/>
                <w:bCs/>
                <w:color w:val="000000"/>
                <w:sz w:val="18"/>
                <w:szCs w:val="18"/>
              </w:rPr>
              <w:t>8、药 物：请自备晕车片、感冒药等自用药物自用。</w:t>
            </w:r>
          </w:p>
          <w:p w14:paraId="1ABE37EE">
            <w:pPr>
              <w:spacing w:line="320" w:lineRule="exact"/>
              <w:rPr>
                <w:rFonts w:ascii="微软雅黑" w:hAnsi="微软雅黑" w:eastAsia="微软雅黑"/>
                <w:bCs/>
                <w:color w:val="000000"/>
                <w:sz w:val="18"/>
                <w:szCs w:val="18"/>
              </w:rPr>
            </w:pPr>
            <w:r>
              <w:rPr>
                <w:rFonts w:hint="eastAsia" w:ascii="微软雅黑" w:hAnsi="微软雅黑" w:eastAsia="微软雅黑"/>
                <w:bCs/>
                <w:color w:val="000000"/>
                <w:sz w:val="18"/>
                <w:szCs w:val="18"/>
              </w:rPr>
              <w:t>9、通 信：国内打电话给泰国时，请在电话号码前加泰国区号0066，泰国打电话回国内时，请在电话号码前面加中国区号00186及广州区号020；有国际漫游功能的全球通手机，可以在泰国使用。</w:t>
            </w:r>
          </w:p>
          <w:p w14:paraId="1B517B9B">
            <w:pPr>
              <w:spacing w:line="320" w:lineRule="exact"/>
              <w:rPr>
                <w:rFonts w:ascii="微软雅黑" w:hAnsi="微软雅黑" w:eastAsia="微软雅黑"/>
                <w:bCs/>
                <w:color w:val="000000"/>
                <w:sz w:val="18"/>
                <w:szCs w:val="18"/>
              </w:rPr>
            </w:pPr>
            <w:r>
              <w:rPr>
                <w:rFonts w:hint="eastAsia" w:ascii="微软雅黑" w:hAnsi="微软雅黑" w:eastAsia="微软雅黑"/>
                <w:bCs/>
                <w:color w:val="000000"/>
                <w:sz w:val="18"/>
                <w:szCs w:val="18"/>
              </w:rPr>
              <w:t>10、行李：春航普通经济座旅客免费行李额为7KG手提行李，赠送10KG托运行李额，超重部分需支付逾重行李费,每公斤按国家公布的经济舱全票价的 1.5%计算。每位旅客带入客舱的非托运行李（包括自理行李和随身携带物品）仅限一件，重量不应超过</w:t>
            </w:r>
            <w:r>
              <w:rPr>
                <w:rFonts w:hint="eastAsia" w:ascii="微软雅黑" w:hAnsi="微软雅黑"/>
                <w:bCs/>
                <w:color w:val="000000"/>
                <w:sz w:val="18"/>
                <w:szCs w:val="18"/>
              </w:rPr>
              <w:t>7</w:t>
            </w:r>
            <w:r>
              <w:rPr>
                <w:rFonts w:hint="eastAsia" w:ascii="微软雅黑" w:hAnsi="微软雅黑" w:eastAsia="微软雅黑"/>
                <w:bCs/>
                <w:color w:val="000000"/>
                <w:sz w:val="18"/>
                <w:szCs w:val="18"/>
              </w:rPr>
              <w:t>公斤，尺寸不应超过20厘米×30厘米×40厘米。证件、现金、贵重物品不可置于托运行李中、旅游车上、酒店房间和公共地方，如遗失责任自负。有需要可将贵重品寄存酒店服务台保险箱。如自带国际信用卡（或银联卡），刷卡消费，安全快捷，消费时请取回客户存根作为记录。</w:t>
            </w:r>
          </w:p>
          <w:p w14:paraId="20446992">
            <w:pPr>
              <w:spacing w:line="320" w:lineRule="exact"/>
              <w:rPr>
                <w:rFonts w:ascii="微软雅黑" w:hAnsi="微软雅黑" w:eastAsia="微软雅黑"/>
                <w:bCs/>
                <w:color w:val="000000"/>
                <w:sz w:val="18"/>
                <w:szCs w:val="18"/>
              </w:rPr>
            </w:pPr>
            <w:r>
              <w:rPr>
                <w:rFonts w:hint="eastAsia" w:ascii="微软雅黑" w:hAnsi="微软雅黑" w:eastAsia="微软雅黑"/>
                <w:bCs/>
                <w:color w:val="000000"/>
                <w:sz w:val="18"/>
                <w:szCs w:val="18"/>
              </w:rPr>
              <w:t>11、海关：据各国海关规定，不可携带超量或违法物品出入境。在中国出境时，贵重物品如摄像机、高档照相机、手提电脑等，必须走红色通道，向海关申报。回国入境可带香烟二条，酒一瓶。</w:t>
            </w:r>
          </w:p>
          <w:p w14:paraId="0C6B64D7">
            <w:pPr>
              <w:spacing w:line="320" w:lineRule="exact"/>
              <w:rPr>
                <w:rFonts w:ascii="微软雅黑" w:hAnsi="微软雅黑" w:eastAsia="微软雅黑"/>
                <w:bCs/>
                <w:color w:val="000000"/>
                <w:sz w:val="18"/>
                <w:szCs w:val="18"/>
              </w:rPr>
            </w:pPr>
            <w:r>
              <w:rPr>
                <w:rFonts w:hint="eastAsia" w:ascii="微软雅黑" w:hAnsi="微软雅黑" w:eastAsia="微软雅黑"/>
                <w:bCs/>
                <w:color w:val="000000"/>
                <w:sz w:val="18"/>
                <w:szCs w:val="18"/>
              </w:rPr>
              <w:t>12、饮食：泰国人主食是大米，喜欢吃酸辣食物，由于常年炎热，习惯饮用冰茶。 泰国菜式通常选用新鲜的材料，菜的味道以辛辣为主，且调味料花样繁多，如有辣椒、咖喱、雨露、虾酱、椰奶等等。泰国菜多数由淡素的食品组成，包括鱼、蔬菜和饭，再加上一些香料和酱汁。但无论饭餐是否丰富，都必有餐汤，与我国的粤菜风格相似。由于近年来中国旅客大幅增加，在泰国的各主要旅游城市，中餐馆也较多，远超过其他国家的的特色餐馆。</w:t>
            </w:r>
          </w:p>
          <w:p w14:paraId="1511D556">
            <w:pPr>
              <w:spacing w:line="320" w:lineRule="exact"/>
              <w:rPr>
                <w:rFonts w:ascii="微软雅黑" w:hAnsi="微软雅黑" w:eastAsia="微软雅黑"/>
                <w:bCs/>
                <w:color w:val="000000"/>
                <w:sz w:val="18"/>
                <w:szCs w:val="18"/>
              </w:rPr>
            </w:pPr>
            <w:r>
              <w:rPr>
                <w:rFonts w:hint="eastAsia" w:ascii="微软雅黑" w:hAnsi="微软雅黑" w:eastAsia="微软雅黑"/>
                <w:bCs/>
                <w:color w:val="000000"/>
                <w:sz w:val="18"/>
                <w:szCs w:val="18"/>
              </w:rPr>
              <w:t>13、其他注意事项：</w:t>
            </w:r>
          </w:p>
          <w:p w14:paraId="358C955F">
            <w:pPr>
              <w:spacing w:line="320" w:lineRule="exact"/>
              <w:rPr>
                <w:rFonts w:ascii="微软雅黑" w:hAnsi="微软雅黑" w:eastAsia="微软雅黑"/>
                <w:bCs/>
                <w:color w:val="000000"/>
                <w:sz w:val="18"/>
                <w:szCs w:val="18"/>
              </w:rPr>
            </w:pPr>
            <w:r>
              <w:rPr>
                <w:rFonts w:hint="eastAsia" w:ascii="微软雅黑" w:hAnsi="微软雅黑" w:eastAsia="微软雅黑"/>
                <w:bCs/>
                <w:color w:val="000000"/>
                <w:sz w:val="18"/>
                <w:szCs w:val="18"/>
              </w:rPr>
              <w:t>（1）出境时请自带身份证原件备查，出入境时请勿为不相识者代带物品，以防被坏人利用触犯刑律。</w:t>
            </w:r>
          </w:p>
          <w:p w14:paraId="2E566BC6">
            <w:pPr>
              <w:spacing w:line="320" w:lineRule="exact"/>
              <w:rPr>
                <w:rFonts w:ascii="微软雅黑" w:hAnsi="微软雅黑" w:eastAsia="微软雅黑"/>
                <w:bCs/>
                <w:color w:val="000000"/>
                <w:sz w:val="18"/>
                <w:szCs w:val="18"/>
              </w:rPr>
            </w:pPr>
            <w:r>
              <w:rPr>
                <w:rFonts w:hint="eastAsia" w:ascii="微软雅黑" w:hAnsi="微软雅黑" w:eastAsia="微软雅黑"/>
                <w:bCs/>
                <w:color w:val="000000"/>
                <w:sz w:val="18"/>
                <w:szCs w:val="18"/>
              </w:rPr>
              <w:t>（2）出境游每人可携带不超过人民币20000元现钞或超过折合5000美元的外币出境。</w:t>
            </w:r>
          </w:p>
          <w:p w14:paraId="47A58AED">
            <w:pPr>
              <w:spacing w:line="320" w:lineRule="exact"/>
              <w:rPr>
                <w:rFonts w:ascii="微软雅黑" w:hAnsi="微软雅黑" w:eastAsia="微软雅黑"/>
                <w:bCs/>
                <w:color w:val="000000"/>
                <w:sz w:val="18"/>
                <w:szCs w:val="18"/>
              </w:rPr>
            </w:pPr>
            <w:r>
              <w:rPr>
                <w:rFonts w:hint="eastAsia" w:ascii="微软雅黑" w:hAnsi="微软雅黑" w:eastAsia="微软雅黑"/>
                <w:bCs/>
                <w:color w:val="000000"/>
                <w:sz w:val="18"/>
                <w:szCs w:val="18"/>
              </w:rPr>
              <w:t>（3）请每位游客自备人民币5000元以上现钞，以备泰国入境时海关抽查。</w:t>
            </w:r>
          </w:p>
          <w:p w14:paraId="5A8CFED0">
            <w:pPr>
              <w:spacing w:line="320" w:lineRule="exact"/>
              <w:rPr>
                <w:rFonts w:ascii="微软雅黑" w:hAnsi="微软雅黑" w:eastAsia="微软雅黑"/>
                <w:bCs/>
                <w:color w:val="000000"/>
                <w:sz w:val="18"/>
                <w:szCs w:val="18"/>
              </w:rPr>
            </w:pPr>
            <w:r>
              <w:rPr>
                <w:rFonts w:hint="eastAsia" w:ascii="微软雅黑" w:hAnsi="微软雅黑" w:eastAsia="微软雅黑"/>
                <w:bCs/>
                <w:color w:val="000000"/>
                <w:sz w:val="18"/>
                <w:szCs w:val="18"/>
              </w:rPr>
              <w:t>（4）泰国酒店一般配备有收费电视，游客在选择频道时请留意；酒店房间电话对市区使用时均会加收手续费，如有额外消费，退房时请尽早结帐，以免耽误团队时间。</w:t>
            </w:r>
          </w:p>
          <w:p w14:paraId="5F8C099E">
            <w:pPr>
              <w:spacing w:line="320" w:lineRule="exact"/>
              <w:rPr>
                <w:rFonts w:ascii="微软雅黑" w:hAnsi="微软雅黑" w:eastAsia="微软雅黑"/>
                <w:bCs/>
                <w:color w:val="000000"/>
                <w:sz w:val="18"/>
                <w:szCs w:val="18"/>
              </w:rPr>
            </w:pPr>
            <w:r>
              <w:rPr>
                <w:rFonts w:hint="eastAsia" w:ascii="微软雅黑" w:hAnsi="微软雅黑" w:eastAsia="微软雅黑"/>
                <w:bCs/>
                <w:color w:val="000000"/>
                <w:sz w:val="18"/>
                <w:szCs w:val="18"/>
              </w:rPr>
              <w:t>（5）泰国由于常年炎热，泰国人习惯饮用冰荼，酒店一般不配备煮水工具，请有喝工夫荼的习惯的游客自备煮水工具及工夫荼具。</w:t>
            </w:r>
          </w:p>
          <w:p w14:paraId="440DDC3D">
            <w:pPr>
              <w:spacing w:line="320" w:lineRule="exact"/>
              <w:rPr>
                <w:rFonts w:ascii="微软雅黑" w:hAnsi="微软雅黑" w:eastAsia="微软雅黑"/>
                <w:bCs/>
                <w:color w:val="000000"/>
                <w:sz w:val="18"/>
                <w:szCs w:val="18"/>
              </w:rPr>
            </w:pPr>
            <w:r>
              <w:rPr>
                <w:rFonts w:hint="eastAsia" w:ascii="微软雅黑" w:hAnsi="微软雅黑" w:eastAsia="微软雅黑"/>
                <w:bCs/>
                <w:color w:val="000000"/>
                <w:sz w:val="18"/>
                <w:szCs w:val="18"/>
              </w:rPr>
              <w:t>（6）外出时请索取酒店卡片，以防万一迷路时能返回酒店，夜间避免单独外出，如需外出请结伴成行并告知领队。</w:t>
            </w:r>
          </w:p>
          <w:p w14:paraId="13E507BF">
            <w:pPr>
              <w:spacing w:line="320" w:lineRule="exact"/>
              <w:rPr>
                <w:rFonts w:ascii="微软雅黑" w:hAnsi="微软雅黑" w:eastAsia="微软雅黑"/>
                <w:bCs/>
                <w:color w:val="000000"/>
                <w:sz w:val="18"/>
                <w:szCs w:val="18"/>
              </w:rPr>
            </w:pPr>
            <w:r>
              <w:rPr>
                <w:rFonts w:hint="eastAsia" w:ascii="微软雅黑" w:hAnsi="微软雅黑" w:eastAsia="微软雅黑"/>
                <w:bCs/>
                <w:color w:val="000000"/>
                <w:sz w:val="18"/>
                <w:szCs w:val="18"/>
              </w:rPr>
              <w:t>（7）护照、机票、其他证件及贵重物品请收随身携带。注意榴莲不能与酒同时食用等禁忌。</w:t>
            </w:r>
          </w:p>
          <w:p w14:paraId="4FAAE2A9">
            <w:pPr>
              <w:spacing w:line="320" w:lineRule="exact"/>
              <w:rPr>
                <w:rFonts w:ascii="微软雅黑" w:hAnsi="微软雅黑" w:eastAsia="微软雅黑"/>
                <w:bCs/>
                <w:color w:val="000000"/>
                <w:sz w:val="18"/>
                <w:szCs w:val="18"/>
              </w:rPr>
            </w:pPr>
            <w:r>
              <w:rPr>
                <w:rFonts w:hint="eastAsia" w:ascii="微软雅黑" w:hAnsi="微软雅黑" w:eastAsia="微软雅黑"/>
                <w:bCs/>
                <w:color w:val="000000"/>
                <w:sz w:val="18"/>
                <w:szCs w:val="18"/>
              </w:rPr>
              <w:t>（8）游览景点时，须戴好胸卡及旅游帽，并谨记领队导游旗颜色、集中时间、地点、游览巴士车号，以防掉队或跟错团队。</w:t>
            </w:r>
          </w:p>
          <w:p w14:paraId="3D60AF6C">
            <w:pPr>
              <w:spacing w:line="320" w:lineRule="exact"/>
              <w:rPr>
                <w:rFonts w:ascii="微软雅黑" w:hAnsi="微软雅黑" w:eastAsia="微软雅黑"/>
                <w:bCs/>
                <w:color w:val="000000"/>
                <w:sz w:val="18"/>
                <w:szCs w:val="18"/>
              </w:rPr>
            </w:pPr>
            <w:r>
              <w:rPr>
                <w:rFonts w:hint="eastAsia" w:ascii="微软雅黑" w:hAnsi="微软雅黑" w:eastAsia="微软雅黑"/>
                <w:bCs/>
                <w:color w:val="000000"/>
                <w:sz w:val="18"/>
                <w:szCs w:val="18"/>
              </w:rPr>
              <w:t>（9）出外旅游，不可参与赌博及色情活动，不可在禁烟区吸烟，不可随地吐痰或乱扔垃圾，对违反当地公共道德及法律法规者，当地政府均有重罚的规定。为了各位团友的身体健康及旅途愉快，请保持旅游车船的卫生。泰国行车方向与我国相反，都靠左边行驶。过马路时，请注意安全。</w:t>
            </w:r>
          </w:p>
          <w:p w14:paraId="1BCA757E">
            <w:pPr>
              <w:spacing w:line="320" w:lineRule="exact"/>
              <w:rPr>
                <w:rFonts w:ascii="微软雅黑" w:hAnsi="微软雅黑" w:eastAsia="微软雅黑"/>
                <w:bCs/>
                <w:color w:val="000000"/>
                <w:sz w:val="18"/>
                <w:szCs w:val="18"/>
              </w:rPr>
            </w:pPr>
            <w:r>
              <w:rPr>
                <w:rFonts w:hint="eastAsia" w:ascii="微软雅黑" w:hAnsi="微软雅黑" w:eastAsia="微软雅黑"/>
                <w:bCs/>
                <w:color w:val="000000"/>
                <w:sz w:val="18"/>
                <w:szCs w:val="18"/>
              </w:rPr>
              <w:t>（10）按照国家有关部门规定，参团的客人应随旅游团队一同出入境，如有特殊应事先办妥相关手续，否则，边防检查机关将追究相关责任。</w:t>
            </w:r>
          </w:p>
          <w:p w14:paraId="7A369614">
            <w:pPr>
              <w:spacing w:line="320" w:lineRule="exact"/>
              <w:rPr>
                <w:rFonts w:ascii="微软雅黑" w:hAnsi="微软雅黑" w:eastAsia="微软雅黑"/>
                <w:bCs/>
                <w:color w:val="000000"/>
                <w:sz w:val="18"/>
                <w:szCs w:val="18"/>
              </w:rPr>
            </w:pPr>
            <w:r>
              <w:rPr>
                <w:rFonts w:hint="eastAsia" w:ascii="微软雅黑" w:hAnsi="微软雅黑" w:eastAsia="微软雅黑"/>
                <w:bCs/>
                <w:color w:val="000000"/>
                <w:sz w:val="18"/>
                <w:szCs w:val="18"/>
              </w:rPr>
              <w:t>（11）各地旅途结束时，按照国际惯例请每位游客付给导游、司机小费，以表心意及友好，对酒店行李生、服务生，也可视乎实际情况酌付小费。</w:t>
            </w:r>
          </w:p>
          <w:p w14:paraId="0EEAB5DA">
            <w:pPr>
              <w:spacing w:line="320" w:lineRule="exact"/>
              <w:rPr>
                <w:rFonts w:ascii="微软雅黑" w:hAnsi="微软雅黑" w:eastAsia="微软雅黑"/>
                <w:bCs/>
                <w:color w:val="000000"/>
                <w:sz w:val="18"/>
                <w:szCs w:val="18"/>
              </w:rPr>
            </w:pPr>
            <w:r>
              <w:rPr>
                <w:rFonts w:hint="eastAsia" w:ascii="微软雅黑" w:hAnsi="微软雅黑" w:eastAsia="微软雅黑"/>
                <w:bCs/>
                <w:color w:val="000000"/>
                <w:sz w:val="18"/>
                <w:szCs w:val="18"/>
              </w:rPr>
              <w:t>（12）旅游期间如遇特殊情况如交通、天气等原因，本公司有权增加、减少或更改某些行程。由于不可抗拒的原因如政变、罢工、水灾、地震、交通意外所引起的旅游天数和费用增加，本公司将按规定收费。出现行李、财物丢失、人身意外伤亡情况，将由当地机构及保险公司依据有关条例予以妥善处理。</w:t>
            </w:r>
          </w:p>
          <w:p w14:paraId="5ADE0B75">
            <w:pPr>
              <w:spacing w:line="320" w:lineRule="exact"/>
              <w:rPr>
                <w:rFonts w:ascii="微软雅黑" w:hAnsi="微软雅黑" w:eastAsia="微软雅黑"/>
                <w:bCs/>
                <w:color w:val="000000"/>
                <w:sz w:val="18"/>
                <w:szCs w:val="18"/>
              </w:rPr>
            </w:pPr>
            <w:r>
              <w:rPr>
                <w:rFonts w:hint="eastAsia" w:ascii="微软雅黑" w:hAnsi="微软雅黑" w:eastAsia="微软雅黑"/>
                <w:bCs/>
                <w:color w:val="000000"/>
                <w:sz w:val="18"/>
                <w:szCs w:val="18"/>
              </w:rPr>
              <w:t>（13）泰国曼谷机场内行李转盘附近装有蓝色免费电话，遇有突发状况可利用电话与外界联络。所有手机用户如需在境外使用手机，均应事先申请手机出境漫游功能。返回中国时每人可以携带400支香烟和1500毫升酒精饮料入境</w:t>
            </w:r>
          </w:p>
          <w:p w14:paraId="59CC2122">
            <w:pPr>
              <w:spacing w:line="320" w:lineRule="exact"/>
              <w:rPr>
                <w:rFonts w:ascii="微软雅黑" w:hAnsi="微软雅黑" w:eastAsia="微软雅黑"/>
                <w:bCs/>
                <w:color w:val="000000"/>
                <w:sz w:val="18"/>
                <w:szCs w:val="18"/>
              </w:rPr>
            </w:pPr>
            <w:r>
              <w:rPr>
                <w:rFonts w:hint="eastAsia" w:ascii="微软雅黑" w:hAnsi="微软雅黑" w:eastAsia="微软雅黑"/>
                <w:bCs/>
                <w:color w:val="000000"/>
                <w:sz w:val="18"/>
                <w:szCs w:val="18"/>
              </w:rPr>
              <w:t>14、泰国习俗及禁忌：</w:t>
            </w:r>
          </w:p>
          <w:p w14:paraId="1BA6A238">
            <w:pPr>
              <w:spacing w:line="320" w:lineRule="exact"/>
              <w:rPr>
                <w:rFonts w:ascii="微软雅黑" w:hAnsi="微软雅黑" w:eastAsia="微软雅黑"/>
                <w:bCs/>
                <w:color w:val="000000"/>
                <w:sz w:val="18"/>
                <w:szCs w:val="18"/>
              </w:rPr>
            </w:pPr>
            <w:r>
              <w:rPr>
                <w:rFonts w:hint="eastAsia" w:ascii="微软雅黑" w:hAnsi="微软雅黑" w:eastAsia="微软雅黑"/>
                <w:bCs/>
                <w:color w:val="000000"/>
                <w:sz w:val="18"/>
                <w:szCs w:val="18"/>
              </w:rPr>
              <w:t>（1）泰国人习惯"合十礼"（即合掌躬首互向对方致礼），合十时常互致问候"沙瓦迪卡"（泰语"您好"的意思）。别人向你合十问候时，你也要合十回敬，否则失礼。合十后，便不必再握手问候或告别，但僧侣对俗家则不必回礼。</w:t>
            </w:r>
          </w:p>
          <w:p w14:paraId="2ADB243A">
            <w:pPr>
              <w:spacing w:line="320" w:lineRule="exact"/>
              <w:rPr>
                <w:rFonts w:ascii="微软雅黑" w:hAnsi="微软雅黑" w:eastAsia="微软雅黑"/>
                <w:bCs/>
                <w:color w:val="000000"/>
                <w:sz w:val="18"/>
                <w:szCs w:val="18"/>
              </w:rPr>
            </w:pPr>
            <w:r>
              <w:rPr>
                <w:rFonts w:hint="eastAsia" w:ascii="微软雅黑" w:hAnsi="微软雅黑" w:eastAsia="微软雅黑"/>
                <w:bCs/>
                <w:color w:val="000000"/>
                <w:sz w:val="18"/>
                <w:szCs w:val="18"/>
              </w:rPr>
              <w:t>（2）泰国是佛教国家，全国95%的国民信奉佛教，佛寺佛塔众多，因此有“千佛之国”的美称。女性应避免碰触僧侣，如奉献财物时可请男士代劳，或直接放在桌上即可。佛像无论大小都要尊重，切勿攀爬。对僧侣应礼让，但不要直接给钱，女性不能触碰僧侣，如需奉送物品，应请男士代劳，或直接放在桌上。到寺庙参观，着装应整齐，不要穿短库、短裙和无袖上装，进入主殿要脱鞋。</w:t>
            </w:r>
          </w:p>
          <w:p w14:paraId="64DCA30B">
            <w:pPr>
              <w:spacing w:line="320" w:lineRule="exact"/>
              <w:rPr>
                <w:rFonts w:ascii="微软雅黑" w:hAnsi="微软雅黑" w:eastAsia="微软雅黑"/>
                <w:bCs/>
                <w:color w:val="000000"/>
                <w:sz w:val="18"/>
                <w:szCs w:val="18"/>
              </w:rPr>
            </w:pPr>
            <w:r>
              <w:rPr>
                <w:rFonts w:hint="eastAsia" w:ascii="微软雅黑" w:hAnsi="微软雅黑" w:eastAsia="微软雅黑"/>
                <w:bCs/>
                <w:color w:val="000000"/>
                <w:sz w:val="18"/>
                <w:szCs w:val="18"/>
              </w:rPr>
              <w:t>（3）泰国人视头部为神圣之处，因此，不要随便触摸别人的头部。不要用脚指人指物，特别是脚底不能冲着佛像，也不要用脚开门关门。给人递东西要用右手，不应用左手。</w:t>
            </w:r>
          </w:p>
          <w:p w14:paraId="1C647DF7">
            <w:pPr>
              <w:spacing w:line="320" w:lineRule="exact"/>
              <w:rPr>
                <w:rFonts w:ascii="微软雅黑" w:hAnsi="微软雅黑" w:eastAsia="微软雅黑"/>
                <w:bCs/>
                <w:color w:val="000000"/>
                <w:sz w:val="18"/>
                <w:szCs w:val="18"/>
              </w:rPr>
            </w:pPr>
            <w:r>
              <w:rPr>
                <w:rFonts w:hint="eastAsia" w:ascii="微软雅黑" w:hAnsi="微软雅黑" w:eastAsia="微软雅黑"/>
                <w:bCs/>
                <w:color w:val="000000"/>
                <w:sz w:val="18"/>
                <w:szCs w:val="18"/>
              </w:rPr>
              <w:t>（4）泰国人对人常是满腔笑容，彬彬有礼，很难看到有人大声喧哗，或是吵架。因此，说话应压低嗓门。无论发生什么事，也不要当众发脾气。</w:t>
            </w:r>
          </w:p>
          <w:p w14:paraId="7F54B994">
            <w:pPr>
              <w:spacing w:line="320" w:lineRule="exact"/>
              <w:rPr>
                <w:rFonts w:ascii="微软雅黑" w:hAnsi="微软雅黑" w:eastAsia="微软雅黑"/>
                <w:bCs/>
                <w:color w:val="000000"/>
                <w:sz w:val="18"/>
                <w:szCs w:val="18"/>
              </w:rPr>
            </w:pPr>
            <w:r>
              <w:rPr>
                <w:rFonts w:hint="eastAsia" w:ascii="微软雅黑" w:hAnsi="微软雅黑" w:eastAsia="微软雅黑"/>
                <w:bCs/>
                <w:color w:val="000000"/>
                <w:sz w:val="18"/>
                <w:szCs w:val="18"/>
              </w:rPr>
              <w:t>（5）尊重王室。在泰国处处可以见到国王和王室的人像，如硬币、纸币、日历牌、挂图等，由此可见对皇室的敬重。游客要小心表现适当的礼仪，例如在公共场合有皇室人员出席时，最好是留意其他人的动作，跟着照做。不可随便谈论或批评皇室，遇有皇室成员出席的场合，态度要敬重。进入寺庙要脱鞋，服装应整齐、端庄，不可穿着短裤。勾肩搭背或从背后惊吓别人也是被禁止的。</w:t>
            </w:r>
          </w:p>
          <w:p w14:paraId="6C9EAED2">
            <w:pPr>
              <w:spacing w:line="320" w:lineRule="exact"/>
              <w:rPr>
                <w:rFonts w:ascii="微软雅黑" w:hAnsi="微软雅黑" w:eastAsia="微软雅黑"/>
                <w:bCs/>
                <w:color w:val="000000"/>
                <w:sz w:val="18"/>
                <w:szCs w:val="18"/>
              </w:rPr>
            </w:pPr>
            <w:r>
              <w:rPr>
                <w:rFonts w:hint="eastAsia" w:ascii="微软雅黑" w:hAnsi="微软雅黑" w:eastAsia="微软雅黑"/>
                <w:bCs/>
                <w:color w:val="000000"/>
                <w:sz w:val="18"/>
                <w:szCs w:val="18"/>
              </w:rPr>
              <w:t>（6）泰国禁赌。即使在酒店房间里也不要打牌或打麻将。</w:t>
            </w:r>
          </w:p>
          <w:p w14:paraId="19EE937F">
            <w:pPr>
              <w:spacing w:line="320" w:lineRule="exact"/>
              <w:rPr>
                <w:rFonts w:ascii="微软雅黑" w:hAnsi="微软雅黑" w:eastAsia="微软雅黑"/>
                <w:bCs/>
                <w:color w:val="000000"/>
                <w:sz w:val="18"/>
                <w:szCs w:val="18"/>
              </w:rPr>
            </w:pPr>
            <w:r>
              <w:rPr>
                <w:rFonts w:hint="eastAsia" w:ascii="微软雅黑" w:hAnsi="微软雅黑" w:eastAsia="微软雅黑"/>
                <w:bCs/>
                <w:color w:val="000000"/>
                <w:sz w:val="18"/>
                <w:szCs w:val="18"/>
              </w:rPr>
              <w:t>（7）泰国人非常爱清洁。随地吐痰，扔杂物被看作是非常缺乏教养的的行为。泰国人还非常注意卫生整洁，因此，无论外出还是在酒店，都应注意保持卫生整洁。</w:t>
            </w:r>
          </w:p>
          <w:p w14:paraId="65AD6D59">
            <w:pPr>
              <w:spacing w:line="320" w:lineRule="exact"/>
              <w:rPr>
                <w:rFonts w:ascii="微软雅黑" w:hAnsi="微软雅黑" w:eastAsia="微软雅黑"/>
                <w:bCs/>
                <w:color w:val="000000"/>
                <w:sz w:val="18"/>
                <w:szCs w:val="18"/>
              </w:rPr>
            </w:pPr>
            <w:r>
              <w:rPr>
                <w:rFonts w:hint="eastAsia" w:ascii="微软雅黑" w:hAnsi="微软雅黑" w:eastAsia="微软雅黑"/>
                <w:bCs/>
                <w:color w:val="000000"/>
                <w:sz w:val="18"/>
                <w:szCs w:val="18"/>
              </w:rPr>
              <w:t>（8）泰国素有“水果王国之称”，请根据自身健康情况选择享用，并注意榴莲不能与酒同时食用等禁忌。</w:t>
            </w:r>
          </w:p>
          <w:p w14:paraId="2729E1A6">
            <w:pPr>
              <w:spacing w:line="320" w:lineRule="exact"/>
              <w:rPr>
                <w:rFonts w:ascii="微软雅黑" w:hAnsi="微软雅黑" w:eastAsia="微软雅黑"/>
                <w:bCs/>
                <w:color w:val="000000"/>
                <w:sz w:val="18"/>
                <w:szCs w:val="18"/>
              </w:rPr>
            </w:pPr>
            <w:r>
              <w:rPr>
                <w:rFonts w:hint="eastAsia" w:ascii="微软雅黑" w:hAnsi="微软雅黑" w:eastAsia="微软雅黑"/>
                <w:bCs/>
                <w:color w:val="000000"/>
                <w:sz w:val="18"/>
                <w:szCs w:val="18"/>
              </w:rPr>
              <w:t>（9）泰国其中一个吸引人的地方就是夜生活，大部分的节目都是为游客而设的。世界闻名的“人妖歌舞”表演更是众多游客最为惊叹的一个节目，看着一个个衣著华丽、仪表雍容、体态动人，脸如芙蓉的“男人”，载歌载舞，柔情万缕地唱着情歌，真能使游客忽尔体验何谓“雌雄莫辨”。</w:t>
            </w:r>
          </w:p>
          <w:p w14:paraId="2383E46D">
            <w:pPr>
              <w:spacing w:line="320" w:lineRule="exact"/>
              <w:rPr>
                <w:rFonts w:ascii="微软雅黑" w:hAnsi="微软雅黑" w:eastAsia="微软雅黑"/>
                <w:bCs/>
                <w:color w:val="000000"/>
                <w:sz w:val="18"/>
                <w:szCs w:val="18"/>
              </w:rPr>
            </w:pPr>
            <w:r>
              <w:rPr>
                <w:rFonts w:hint="eastAsia" w:ascii="微软雅黑" w:hAnsi="微软雅黑" w:eastAsia="微软雅黑"/>
                <w:bCs/>
                <w:color w:val="000000"/>
                <w:sz w:val="18"/>
                <w:szCs w:val="18"/>
              </w:rPr>
              <w:t>（10）小费说明：泰国是个习惯付小费的国家之一，而付小费是一种礼仪!给付小费时，应尽量不给硬币以示尊重。以下提供一些需付小费的地方，让您参考（客人自愿）：</w:t>
            </w:r>
          </w:p>
          <w:p w14:paraId="1B9E934D">
            <w:pPr>
              <w:spacing w:line="320" w:lineRule="exact"/>
              <w:rPr>
                <w:rFonts w:ascii="微软雅黑" w:hAnsi="微软雅黑" w:eastAsia="微软雅黑"/>
                <w:bCs/>
                <w:color w:val="000000"/>
                <w:sz w:val="18"/>
                <w:szCs w:val="18"/>
              </w:rPr>
            </w:pPr>
            <w:r>
              <w:rPr>
                <w:rFonts w:hint="eastAsia" w:ascii="微软雅黑" w:hAnsi="微软雅黑" w:eastAsia="微软雅黑"/>
                <w:bCs/>
                <w:color w:val="000000"/>
                <w:sz w:val="18"/>
                <w:szCs w:val="18"/>
              </w:rPr>
              <w:t>----泰式按摩：您可视按摩师的服务品质或专业水准而弹性给予，约100泰铢。</w:t>
            </w:r>
          </w:p>
          <w:p w14:paraId="55D1F8BE">
            <w:pPr>
              <w:spacing w:line="320" w:lineRule="exact"/>
              <w:rPr>
                <w:rFonts w:ascii="微软雅黑" w:hAnsi="微软雅黑" w:eastAsia="微软雅黑"/>
                <w:bCs/>
                <w:color w:val="000000"/>
                <w:sz w:val="18"/>
                <w:szCs w:val="18"/>
              </w:rPr>
            </w:pPr>
            <w:r>
              <w:rPr>
                <w:rFonts w:hint="eastAsia" w:ascii="微软雅黑" w:hAnsi="微软雅黑" w:eastAsia="微软雅黑"/>
                <w:bCs/>
                <w:color w:val="000000"/>
                <w:sz w:val="18"/>
                <w:szCs w:val="18"/>
              </w:rPr>
              <w:t>----与人妖拍照：每人每次约泰铢 40—100 元</w:t>
            </w:r>
          </w:p>
          <w:p w14:paraId="7EBEDD88">
            <w:pPr>
              <w:spacing w:line="320" w:lineRule="exact"/>
              <w:rPr>
                <w:rFonts w:ascii="微软雅黑" w:hAnsi="微软雅黑" w:eastAsia="微软雅黑"/>
                <w:bCs/>
                <w:color w:val="000000"/>
                <w:sz w:val="18"/>
                <w:szCs w:val="18"/>
              </w:rPr>
            </w:pPr>
            <w:r>
              <w:rPr>
                <w:rFonts w:hint="eastAsia" w:ascii="微软雅黑" w:hAnsi="微软雅黑" w:eastAsia="微软雅黑"/>
                <w:bCs/>
                <w:color w:val="000000"/>
                <w:sz w:val="18"/>
                <w:szCs w:val="18"/>
              </w:rPr>
              <w:t>----行李小费：一间房间一次约给行李人员泰珠20元</w:t>
            </w:r>
          </w:p>
          <w:p w14:paraId="3BC87877">
            <w:pPr>
              <w:spacing w:line="320" w:lineRule="exact"/>
              <w:rPr>
                <w:rFonts w:ascii="微软雅黑" w:hAnsi="微软雅黑" w:eastAsia="微软雅黑"/>
                <w:bCs/>
                <w:color w:val="000000"/>
                <w:sz w:val="18"/>
                <w:szCs w:val="18"/>
              </w:rPr>
            </w:pPr>
            <w:r>
              <w:rPr>
                <w:rFonts w:hint="eastAsia" w:ascii="微软雅黑" w:hAnsi="微软雅黑" w:eastAsia="微软雅黑"/>
                <w:bCs/>
                <w:color w:val="000000"/>
                <w:sz w:val="18"/>
                <w:szCs w:val="18"/>
              </w:rPr>
              <w:t>----床头小费：一间房间 (2 人 ) 每天约给泰铢20元</w:t>
            </w:r>
          </w:p>
          <w:p w14:paraId="3AC13E66">
            <w:pPr>
              <w:spacing w:line="320" w:lineRule="exact"/>
              <w:rPr>
                <w:rFonts w:hint="eastAsia" w:ascii="微软雅黑" w:hAnsi="微软雅黑"/>
                <w:bCs/>
                <w:color w:val="000000"/>
                <w:sz w:val="18"/>
                <w:szCs w:val="18"/>
              </w:rPr>
            </w:pPr>
            <w:r>
              <w:rPr>
                <w:rFonts w:hint="eastAsia" w:ascii="微软雅黑" w:hAnsi="微软雅黑" w:eastAsia="微软雅黑"/>
                <w:bCs/>
                <w:color w:val="000000"/>
                <w:sz w:val="18"/>
                <w:szCs w:val="18"/>
              </w:rPr>
              <w:t>以上旅游须知，对您的泰国之行若有帮助的话，我们将感到十分荣幸。最后，祝你旅途愉快！</w:t>
            </w:r>
          </w:p>
        </w:tc>
      </w:tr>
      <w:tr w14:paraId="78F4ABA8">
        <w:tblPrEx>
          <w:tblBorders>
            <w:top w:val="single" w:color="7B7B7B" w:themeColor="accent3" w:themeShade="BF" w:sz="8" w:space="0"/>
            <w:left w:val="single" w:color="7B7B7B" w:themeColor="accent3" w:themeShade="BF" w:sz="8" w:space="0"/>
            <w:bottom w:val="single" w:color="7B7B7B" w:themeColor="accent3" w:themeShade="BF" w:sz="8" w:space="0"/>
            <w:right w:val="single" w:color="7B7B7B" w:themeColor="accent3" w:themeShade="BF" w:sz="8" w:space="0"/>
            <w:insideH w:val="single" w:color="7B7B7B" w:themeColor="accent3" w:themeShade="BF" w:sz="8" w:space="0"/>
            <w:insideV w:val="single" w:color="7B7B7B" w:themeColor="accent3" w:themeShade="BF" w:sz="8" w:space="0"/>
          </w:tblBorders>
          <w:shd w:val="clear" w:color="auto" w:fill="FFFFFF"/>
          <w:tblCellMar>
            <w:top w:w="0" w:type="dxa"/>
            <w:left w:w="108" w:type="dxa"/>
            <w:bottom w:w="0" w:type="dxa"/>
            <w:right w:w="108" w:type="dxa"/>
          </w:tblCellMar>
        </w:tblPrEx>
        <w:trPr>
          <w:gridAfter w:val="1"/>
          <w:wAfter w:w="322" w:type="dxa"/>
          <w:trHeight w:val="2553" w:hRule="atLeast"/>
          <w:jc w:val="center"/>
        </w:trPr>
        <w:tc>
          <w:tcPr>
            <w:tcW w:w="9720" w:type="dxa"/>
            <w:gridSpan w:val="3"/>
            <w:tcBorders>
              <w:tl2br w:val="nil"/>
              <w:tr2bl w:val="nil"/>
            </w:tcBorders>
            <w:shd w:val="clear" w:color="auto" w:fill="FFFFFF"/>
            <w:noWrap w:val="0"/>
            <w:vAlign w:val="top"/>
          </w:tcPr>
          <w:p w14:paraId="2A858AB7">
            <w:pPr>
              <w:ind w:left="361" w:hanging="361" w:hangingChars="200"/>
              <w:rPr>
                <w:rFonts w:ascii="宋体" w:hAnsi="宋体"/>
                <w:b/>
                <w:sz w:val="18"/>
                <w:szCs w:val="18"/>
              </w:rPr>
            </w:pPr>
            <w:r>
              <w:rPr>
                <w:rFonts w:hint="eastAsia" w:ascii="宋体" w:hAnsi="宋体"/>
                <w:b/>
                <w:sz w:val="18"/>
                <w:szCs w:val="18"/>
              </w:rPr>
              <w:t>差异化服务须知：</w:t>
            </w:r>
          </w:p>
          <w:p w14:paraId="66A7CE44">
            <w:pPr>
              <w:pStyle w:val="5"/>
              <w:shd w:val="clear" w:color="auto" w:fill="FFFFFF"/>
              <w:spacing w:before="0" w:beforeAutospacing="0" w:after="0" w:afterAutospacing="0" w:line="285" w:lineRule="atLeast"/>
              <w:rPr>
                <w:rFonts w:cs="Times New Roman"/>
                <w:b/>
                <w:kern w:val="2"/>
                <w:sz w:val="18"/>
                <w:szCs w:val="18"/>
              </w:rPr>
            </w:pPr>
            <w:r>
              <w:rPr>
                <w:rFonts w:hint="eastAsia" w:cs="Times New Roman"/>
                <w:b/>
                <w:kern w:val="2"/>
                <w:sz w:val="18"/>
                <w:szCs w:val="18"/>
              </w:rPr>
              <w:t>一.餐饮服务须知</w:t>
            </w:r>
          </w:p>
          <w:p w14:paraId="64CBE888">
            <w:pPr>
              <w:pStyle w:val="5"/>
              <w:shd w:val="clear" w:color="auto" w:fill="FFFFFF"/>
              <w:spacing w:before="0" w:beforeAutospacing="0" w:after="0" w:afterAutospacing="0" w:line="285" w:lineRule="atLeast"/>
              <w:ind w:firstLine="405"/>
              <w:rPr>
                <w:rFonts w:hint="eastAsia" w:ascii="微软雅黑" w:hAnsi="微软雅黑" w:eastAsia="微软雅黑" w:cs="Times New Roman"/>
                <w:bCs/>
                <w:color w:val="000000"/>
                <w:kern w:val="2"/>
                <w:sz w:val="18"/>
                <w:szCs w:val="18"/>
              </w:rPr>
            </w:pPr>
            <w:r>
              <w:rPr>
                <w:rFonts w:hint="eastAsia" w:ascii="微软雅黑" w:hAnsi="微软雅黑" w:eastAsia="微软雅黑" w:cs="Times New Roman"/>
                <w:bCs/>
                <w:color w:val="000000"/>
                <w:kern w:val="2"/>
                <w:sz w:val="18"/>
                <w:szCs w:val="18"/>
              </w:rPr>
              <w:t>春秋航空的票价不含餐、饮费用。客舱内设有售品部，您可以根据需要选购饮料、餐食及其他商品，我们的客舱乘务员将竭诚服务。我们诚挚地敬奉各位旅客：为保持客舱清洁，请勿在客舱内食用自带食品，尤其带有果皮、瓜壳等的食物。</w:t>
            </w:r>
          </w:p>
          <w:p w14:paraId="4A430424">
            <w:pPr>
              <w:pStyle w:val="5"/>
              <w:shd w:val="clear" w:color="auto" w:fill="FFFFFF"/>
              <w:spacing w:before="0" w:beforeAutospacing="0" w:after="0" w:afterAutospacing="0" w:line="285" w:lineRule="atLeast"/>
              <w:rPr>
                <w:rFonts w:hint="eastAsia" w:cs="Times New Roman"/>
                <w:b/>
                <w:kern w:val="2"/>
                <w:sz w:val="18"/>
                <w:szCs w:val="18"/>
              </w:rPr>
            </w:pPr>
            <w:r>
              <w:rPr>
                <w:rFonts w:hint="eastAsia" w:cs="Times New Roman"/>
                <w:b/>
                <w:kern w:val="2"/>
                <w:sz w:val="18"/>
                <w:szCs w:val="18"/>
              </w:rPr>
              <w:t>二.不正常航班服务须知</w:t>
            </w:r>
          </w:p>
          <w:p w14:paraId="0D77C37D">
            <w:pPr>
              <w:pStyle w:val="5"/>
              <w:shd w:val="clear" w:color="auto" w:fill="FFFFFF"/>
              <w:spacing w:before="0" w:beforeAutospacing="0" w:after="0" w:afterAutospacing="0" w:line="240" w:lineRule="atLeast"/>
              <w:ind w:firstLine="405"/>
              <w:rPr>
                <w:rFonts w:hint="eastAsia" w:ascii="微软雅黑" w:hAnsi="微软雅黑" w:eastAsia="微软雅黑" w:cs="Times New Roman"/>
                <w:bCs/>
                <w:color w:val="000000"/>
                <w:kern w:val="2"/>
                <w:sz w:val="18"/>
                <w:szCs w:val="18"/>
              </w:rPr>
            </w:pPr>
            <w:r>
              <w:rPr>
                <w:rFonts w:hint="eastAsia" w:ascii="微软雅黑" w:hAnsi="微软雅黑" w:eastAsia="微软雅黑" w:cs="Times New Roman"/>
                <w:bCs/>
                <w:color w:val="000000"/>
                <w:kern w:val="2"/>
                <w:sz w:val="18"/>
                <w:szCs w:val="18"/>
              </w:rPr>
              <w:t>1.发生航班出港延误或者取消后，春秋航空或者地面服务代理人按照下列情形为旅客提供食宿服务：</w:t>
            </w:r>
          </w:p>
          <w:p w14:paraId="7214700A">
            <w:pPr>
              <w:pStyle w:val="5"/>
              <w:shd w:val="clear" w:color="auto" w:fill="FFFFFF"/>
              <w:spacing w:before="0" w:beforeAutospacing="0" w:after="0" w:afterAutospacing="0" w:line="240" w:lineRule="atLeast"/>
              <w:ind w:firstLine="405"/>
              <w:rPr>
                <w:rFonts w:hint="eastAsia" w:ascii="微软雅黑" w:hAnsi="微软雅黑" w:eastAsia="微软雅黑" w:cs="Times New Roman"/>
                <w:bCs/>
                <w:color w:val="000000"/>
                <w:kern w:val="2"/>
                <w:sz w:val="18"/>
                <w:szCs w:val="18"/>
              </w:rPr>
            </w:pPr>
            <w:r>
              <w:rPr>
                <w:rFonts w:hint="eastAsia" w:ascii="微软雅黑" w:hAnsi="微软雅黑" w:eastAsia="微软雅黑" w:cs="Times New Roman"/>
                <w:bCs/>
                <w:color w:val="000000"/>
                <w:kern w:val="2"/>
                <w:sz w:val="18"/>
                <w:szCs w:val="18"/>
              </w:rPr>
              <w:t>（1）由于机务维护、航班调配、机组等承运人自身原因，造成航班在始发地出港延误或者取消，春秋航空仅在地面向旅客提供餐食或者住宿等服务。</w:t>
            </w:r>
          </w:p>
          <w:p w14:paraId="7ECCEE51">
            <w:pPr>
              <w:pStyle w:val="5"/>
              <w:shd w:val="clear" w:color="auto" w:fill="FFFFFF"/>
              <w:spacing w:before="0" w:beforeAutospacing="0" w:after="0" w:afterAutospacing="0" w:line="240" w:lineRule="atLeast"/>
              <w:ind w:firstLine="405"/>
              <w:rPr>
                <w:rFonts w:hint="eastAsia" w:ascii="微软雅黑" w:hAnsi="微软雅黑" w:eastAsia="微软雅黑" w:cs="Times New Roman"/>
                <w:bCs/>
                <w:color w:val="000000"/>
                <w:kern w:val="2"/>
                <w:sz w:val="18"/>
                <w:szCs w:val="18"/>
              </w:rPr>
            </w:pPr>
            <w:r>
              <w:rPr>
                <w:rFonts w:hint="eastAsia" w:ascii="微软雅黑" w:hAnsi="微软雅黑" w:eastAsia="微软雅黑" w:cs="Times New Roman"/>
                <w:bCs/>
                <w:color w:val="000000"/>
                <w:kern w:val="2"/>
                <w:sz w:val="18"/>
                <w:szCs w:val="18"/>
              </w:rPr>
              <w:t>（2）由于天气、突发事件、空中交通管制、安检以及旅客等非承运人原因，造成航班在始发地出港延误或者取消，春秋航空将协助旅客安排餐食和住宿，费用由旅客自理。</w:t>
            </w:r>
          </w:p>
          <w:p w14:paraId="79EA8B06">
            <w:pPr>
              <w:pStyle w:val="5"/>
              <w:shd w:val="clear" w:color="auto" w:fill="FFFFFF"/>
              <w:spacing w:before="0" w:beforeAutospacing="0" w:after="0" w:afterAutospacing="0" w:line="240" w:lineRule="atLeast"/>
              <w:rPr>
                <w:rFonts w:hint="eastAsia" w:ascii="微软雅黑" w:hAnsi="微软雅黑" w:eastAsia="微软雅黑" w:cs="Times New Roman"/>
                <w:bCs/>
                <w:color w:val="000000"/>
                <w:kern w:val="2"/>
                <w:sz w:val="18"/>
                <w:szCs w:val="18"/>
              </w:rPr>
            </w:pPr>
            <w:r>
              <w:rPr>
                <w:rFonts w:hint="eastAsia" w:ascii="微软雅黑" w:hAnsi="微软雅黑" w:eastAsia="微软雅黑" w:cs="Times New Roman"/>
                <w:bCs/>
                <w:color w:val="000000"/>
                <w:kern w:val="2"/>
                <w:sz w:val="18"/>
                <w:szCs w:val="18"/>
              </w:rPr>
              <w:t> 2.航班取消或延误（包括计划延误）超过5个小时，非团队协议购票的旅客均有权选择免费变更至有可利用座位的后续航班，或办理非自愿退票。选择非自愿退票的，在始发地的，退还全部票款；在经停点的，退还未使用航段的全部票款，不超过原付票款金额。均不收取退票费。票款在30天内退还。</w:t>
            </w:r>
          </w:p>
          <w:p w14:paraId="719CEE42">
            <w:pPr>
              <w:pStyle w:val="5"/>
              <w:shd w:val="clear" w:color="auto" w:fill="FFFFFF"/>
              <w:spacing w:before="0" w:beforeAutospacing="0" w:after="0" w:afterAutospacing="0" w:line="240" w:lineRule="atLeast"/>
              <w:ind w:firstLine="405"/>
              <w:rPr>
                <w:rFonts w:hint="eastAsia" w:cs="Times New Roman"/>
                <w:b/>
                <w:kern w:val="2"/>
                <w:sz w:val="18"/>
                <w:szCs w:val="18"/>
              </w:rPr>
            </w:pPr>
            <w:r>
              <w:rPr>
                <w:rFonts w:hint="eastAsia" w:cs="Times New Roman"/>
                <w:b/>
                <w:kern w:val="2"/>
                <w:sz w:val="18"/>
                <w:szCs w:val="18"/>
              </w:rPr>
              <w:t>3.</w:t>
            </w:r>
            <w:r>
              <w:rPr>
                <w:rFonts w:hint="eastAsia" w:ascii="微软雅黑" w:hAnsi="微软雅黑" w:eastAsia="微软雅黑" w:cs="Times New Roman"/>
                <w:b/>
                <w:bCs w:val="0"/>
                <w:color w:val="000000"/>
                <w:kern w:val="2"/>
                <w:sz w:val="18"/>
                <w:szCs w:val="18"/>
              </w:rPr>
              <w:t>无论何种原因航班延误或取消，春秋航空不承诺提供任何其它补偿。</w:t>
            </w:r>
          </w:p>
          <w:p w14:paraId="1D8576EE">
            <w:pPr>
              <w:pStyle w:val="5"/>
              <w:shd w:val="clear" w:color="auto" w:fill="FFFFFF"/>
              <w:spacing w:before="0" w:beforeAutospacing="0" w:after="0" w:afterAutospacing="0" w:line="285" w:lineRule="atLeast"/>
              <w:rPr>
                <w:rFonts w:hint="eastAsia" w:cs="Times New Roman"/>
                <w:b/>
                <w:kern w:val="2"/>
                <w:sz w:val="18"/>
                <w:szCs w:val="18"/>
              </w:rPr>
            </w:pPr>
            <w:r>
              <w:rPr>
                <w:rFonts w:hint="eastAsia" w:cs="Times New Roman"/>
                <w:b/>
                <w:kern w:val="2"/>
                <w:sz w:val="18"/>
                <w:szCs w:val="18"/>
              </w:rPr>
              <w:t>三.拒绝运输与限制运输</w:t>
            </w:r>
          </w:p>
          <w:p w14:paraId="18DEB24B">
            <w:pPr>
              <w:pStyle w:val="5"/>
              <w:shd w:val="clear" w:color="auto" w:fill="FFFFFF"/>
              <w:spacing w:before="0" w:beforeAutospacing="0" w:after="0" w:afterAutospacing="0" w:line="285" w:lineRule="atLeast"/>
              <w:ind w:firstLine="165"/>
              <w:rPr>
                <w:rFonts w:hint="eastAsia" w:ascii="微软雅黑" w:hAnsi="微软雅黑" w:eastAsia="微软雅黑" w:cs="Times New Roman"/>
                <w:bCs/>
                <w:color w:val="000000"/>
                <w:kern w:val="2"/>
                <w:sz w:val="18"/>
                <w:szCs w:val="18"/>
              </w:rPr>
            </w:pPr>
            <w:r>
              <w:rPr>
                <w:rFonts w:hint="eastAsia" w:ascii="微软雅黑" w:hAnsi="微软雅黑" w:eastAsia="微软雅黑" w:cs="Times New Roman"/>
                <w:bCs/>
                <w:color w:val="000000"/>
                <w:kern w:val="2"/>
                <w:sz w:val="18"/>
                <w:szCs w:val="18"/>
              </w:rPr>
              <w:t>1.特殊旅客包括：重要旅客、无成人陪伴儿童、老年旅客、孕妇、婴儿、盲人旅客、聋哑旅客、酒醉旅客、犯罪嫌疑人、机要交通人员、外交信使、额外占座旅客、保密旅客、担架旅客、病残旅客以及其他需要特殊照顾的旅客。考虑到特殊旅客自身及其他旅客的乘机安全，我们要求特殊旅客购票时应提供相应证明并办理特殊旅客运输手续，经我们同意并做出相应安排后方可予以运输。如您未能遵守规定，我们有权拒绝运输，责任由您本人或您的委托购票人承担。</w:t>
            </w:r>
          </w:p>
          <w:p w14:paraId="30834CA8">
            <w:pPr>
              <w:pStyle w:val="5"/>
              <w:shd w:val="clear" w:color="auto" w:fill="FFFFFF"/>
              <w:spacing w:before="0" w:beforeAutospacing="0" w:after="0" w:afterAutospacing="0" w:line="285" w:lineRule="atLeast"/>
              <w:ind w:firstLine="165"/>
              <w:rPr>
                <w:rFonts w:hint="eastAsia" w:ascii="微软雅黑" w:hAnsi="微软雅黑" w:eastAsia="微软雅黑" w:cs="Times New Roman"/>
                <w:bCs/>
                <w:color w:val="000000"/>
                <w:kern w:val="2"/>
                <w:sz w:val="18"/>
                <w:szCs w:val="18"/>
              </w:rPr>
            </w:pPr>
            <w:r>
              <w:rPr>
                <w:rFonts w:hint="eastAsia" w:ascii="微软雅黑" w:hAnsi="微软雅黑" w:eastAsia="微软雅黑" w:cs="Times New Roman"/>
                <w:bCs/>
                <w:color w:val="000000"/>
                <w:kern w:val="2"/>
                <w:sz w:val="18"/>
                <w:szCs w:val="18"/>
              </w:rPr>
              <w:t>2.如果您对我们的服务存有任何异议，请通过合法途径投诉或申请解决争议。若您采取霸机、占机、冲击柜台等影响安全或妨害营运秩序的手段，鉴于我们没有能力满足您的要求，我们可能在短期内无法向您提供服务。</w:t>
            </w:r>
          </w:p>
          <w:p w14:paraId="2A89F35F">
            <w:pPr>
              <w:pStyle w:val="5"/>
              <w:shd w:val="clear" w:color="auto" w:fill="FFFFFF"/>
              <w:spacing w:before="0" w:beforeAutospacing="0" w:after="0" w:afterAutospacing="0" w:line="285" w:lineRule="atLeast"/>
              <w:rPr>
                <w:rFonts w:hint="eastAsia" w:cs="Times New Roman"/>
                <w:b/>
                <w:kern w:val="2"/>
                <w:sz w:val="18"/>
                <w:szCs w:val="18"/>
              </w:rPr>
            </w:pPr>
            <w:r>
              <w:rPr>
                <w:rFonts w:hint="eastAsia" w:cs="Times New Roman"/>
                <w:b/>
                <w:kern w:val="2"/>
                <w:sz w:val="18"/>
                <w:szCs w:val="18"/>
              </w:rPr>
              <w:t>四.行李运输规定</w:t>
            </w:r>
          </w:p>
          <w:p w14:paraId="056B825E">
            <w:pPr>
              <w:spacing w:line="320" w:lineRule="exact"/>
              <w:ind w:firstLine="180" w:firstLineChars="100"/>
              <w:rPr>
                <w:rFonts w:hint="eastAsia" w:ascii="微软雅黑" w:hAnsi="微软雅黑" w:eastAsia="微软雅黑"/>
                <w:bCs/>
                <w:color w:val="000000"/>
                <w:sz w:val="18"/>
                <w:szCs w:val="18"/>
              </w:rPr>
            </w:pPr>
            <w:r>
              <w:rPr>
                <w:rFonts w:hint="eastAsia" w:ascii="微软雅黑" w:hAnsi="微软雅黑" w:eastAsia="微软雅黑"/>
                <w:bCs/>
                <w:color w:val="000000"/>
                <w:sz w:val="18"/>
                <w:szCs w:val="18"/>
              </w:rPr>
              <w:t>1.我公司的免费行李额较低。普通经济座旅客</w:t>
            </w:r>
            <w:r>
              <w:rPr>
                <w:rFonts w:hint="eastAsia" w:ascii="微软雅黑" w:hAnsi="微软雅黑" w:eastAsia="微软雅黑"/>
                <w:bCs/>
                <w:color w:val="000000"/>
                <w:sz w:val="18"/>
                <w:szCs w:val="18"/>
                <w:highlight w:val="yellow"/>
              </w:rPr>
              <w:t>免费行李额为7KG手提行李，赠送10KG托运行李额</w:t>
            </w:r>
            <w:r>
              <w:rPr>
                <w:rFonts w:hint="eastAsia" w:ascii="微软雅黑" w:hAnsi="微软雅黑" w:eastAsia="微软雅黑"/>
                <w:bCs/>
                <w:color w:val="000000"/>
                <w:sz w:val="18"/>
                <w:szCs w:val="18"/>
              </w:rPr>
              <w:t>，商务经济座旅客免费行李额（包括托运行李和非托运行李）为 25 公斤（婴儿无免费行李额），超重部分需支付逾重行李费,每公斤按国家公布的经济舱全票价的 1.5%计算。</w:t>
            </w:r>
          </w:p>
          <w:p w14:paraId="776A467E">
            <w:pPr>
              <w:spacing w:line="320" w:lineRule="exact"/>
              <w:ind w:firstLine="180" w:firstLineChars="100"/>
              <w:rPr>
                <w:rFonts w:ascii="微软雅黑" w:hAnsi="微软雅黑" w:eastAsia="微软雅黑"/>
                <w:bCs/>
                <w:color w:val="000000"/>
                <w:sz w:val="18"/>
                <w:szCs w:val="18"/>
              </w:rPr>
            </w:pPr>
            <w:r>
              <w:rPr>
                <w:rFonts w:hint="eastAsia" w:ascii="微软雅黑" w:hAnsi="微软雅黑" w:eastAsia="微软雅黑"/>
                <w:bCs/>
                <w:color w:val="000000"/>
                <w:sz w:val="18"/>
                <w:szCs w:val="18"/>
              </w:rPr>
              <w:t>2.</w:t>
            </w:r>
            <w:r>
              <w:rPr>
                <w:rFonts w:hint="eastAsia" w:ascii="微软雅黑" w:hAnsi="微软雅黑" w:eastAsia="微软雅黑"/>
                <w:color w:val="444444"/>
                <w:sz w:val="18"/>
                <w:szCs w:val="18"/>
                <w:shd w:val="clear" w:color="auto" w:fill="FFFFFF"/>
              </w:rPr>
              <w:t xml:space="preserve"> </w:t>
            </w:r>
            <w:r>
              <w:rPr>
                <w:rFonts w:hint="eastAsia" w:ascii="微软雅黑" w:hAnsi="微软雅黑" w:eastAsia="微软雅黑"/>
                <w:bCs/>
                <w:color w:val="000000"/>
                <w:sz w:val="18"/>
                <w:szCs w:val="18"/>
              </w:rPr>
              <w:t>每位旅客带入客舱的非托运行李仅限一件，重量不应超过</w:t>
            </w:r>
            <w:r>
              <w:rPr>
                <w:rFonts w:hint="eastAsia" w:ascii="微软雅黑" w:hAnsi="微软雅黑" w:eastAsia="微软雅黑"/>
                <w:b/>
                <w:color w:val="000000"/>
              </w:rPr>
              <w:t>7</w:t>
            </w:r>
            <w:r>
              <w:rPr>
                <w:rFonts w:hint="eastAsia" w:ascii="微软雅黑" w:hAnsi="微软雅黑" w:eastAsia="微软雅黑"/>
                <w:bCs/>
                <w:color w:val="000000"/>
                <w:sz w:val="18"/>
                <w:szCs w:val="18"/>
              </w:rPr>
              <w:t>公斤，尺寸不应超过20厘米×30厘米×40厘米。超重或超限的，均应办理托运；如您未能配合的，我们将有权拒绝运输。</w:t>
            </w:r>
          </w:p>
          <w:p w14:paraId="5A219F02">
            <w:pPr>
              <w:pStyle w:val="5"/>
              <w:shd w:val="clear" w:color="auto" w:fill="FFFFFF"/>
              <w:spacing w:before="0" w:beforeAutospacing="0" w:after="0" w:afterAutospacing="0" w:line="285" w:lineRule="atLeast"/>
              <w:ind w:firstLine="195"/>
              <w:rPr>
                <w:rFonts w:hint="eastAsia" w:ascii="微软雅黑" w:hAnsi="微软雅黑" w:eastAsia="微软雅黑" w:cs="Times New Roman"/>
                <w:bCs/>
                <w:color w:val="000000"/>
                <w:kern w:val="2"/>
                <w:sz w:val="18"/>
                <w:szCs w:val="18"/>
              </w:rPr>
            </w:pPr>
            <w:r>
              <w:rPr>
                <w:rFonts w:hint="eastAsia" w:ascii="微软雅黑" w:hAnsi="微软雅黑" w:eastAsia="微软雅黑" w:cs="Times New Roman"/>
                <w:bCs/>
                <w:color w:val="000000"/>
                <w:kern w:val="2"/>
                <w:sz w:val="18"/>
                <w:szCs w:val="18"/>
              </w:rPr>
              <w:t>3.请勿将违禁物品、贵重物品及易碎物品放入托运行李，勿携带大量现金上机，并在客舱内注意保管您的贵重物品。如运输过程中发生非托运行李毁损或丢失，将由旅客本人负责。因部分飞机不具备装载活体动物的条件，目前春秋航空所执行的所有国内、国际（含地区）航班暂不接受小动物托运的业务。</w:t>
            </w:r>
          </w:p>
          <w:p w14:paraId="3A0AAE2D">
            <w:pPr>
              <w:pStyle w:val="5"/>
              <w:shd w:val="clear" w:color="auto" w:fill="FFFFFF"/>
              <w:spacing w:before="0" w:beforeAutospacing="0" w:after="0" w:afterAutospacing="0" w:line="285" w:lineRule="atLeast"/>
              <w:rPr>
                <w:rFonts w:hint="eastAsia" w:cs="Times New Roman"/>
                <w:b/>
                <w:kern w:val="2"/>
                <w:sz w:val="18"/>
                <w:szCs w:val="18"/>
              </w:rPr>
            </w:pPr>
            <w:r>
              <w:rPr>
                <w:rFonts w:hint="eastAsia" w:cs="Times New Roman"/>
                <w:b/>
                <w:kern w:val="2"/>
                <w:sz w:val="18"/>
                <w:szCs w:val="18"/>
              </w:rPr>
              <w:t>五.危险品</w:t>
            </w:r>
          </w:p>
          <w:p w14:paraId="4E434750">
            <w:pPr>
              <w:pStyle w:val="5"/>
              <w:shd w:val="clear" w:color="auto" w:fill="FFFFFF"/>
              <w:spacing w:before="0" w:beforeAutospacing="0" w:after="0" w:afterAutospacing="0" w:line="255" w:lineRule="atLeast"/>
              <w:ind w:firstLine="180"/>
              <w:rPr>
                <w:rFonts w:hint="eastAsia" w:ascii="微软雅黑" w:hAnsi="微软雅黑" w:eastAsia="微软雅黑" w:cs="Times New Roman"/>
                <w:bCs/>
                <w:color w:val="000000"/>
                <w:kern w:val="2"/>
                <w:sz w:val="18"/>
                <w:szCs w:val="18"/>
              </w:rPr>
            </w:pPr>
            <w:r>
              <w:rPr>
                <w:rFonts w:hint="eastAsia" w:ascii="微软雅黑" w:hAnsi="微软雅黑" w:eastAsia="微软雅黑" w:cs="Times New Roman"/>
                <w:bCs/>
                <w:color w:val="000000"/>
                <w:kern w:val="2"/>
                <w:sz w:val="18"/>
                <w:szCs w:val="18"/>
              </w:rPr>
              <w:t>1.请勿在您的行李物品中夹带危险物品。这些危险物品包括：易燃易爆物品、毒害品、感染性物质、放射性物质、腐蚀品、强磁性物质、化工化学品、液化气体等。其他危险物品还包括：含锂电池或烟火装置的保密性公文包、使人致残的设备，液态氧气设备、损坏的锂电池、枪支弹药、管制刀具、火种、电休克武器等。</w:t>
            </w:r>
          </w:p>
          <w:p w14:paraId="26C6846F">
            <w:pPr>
              <w:pStyle w:val="5"/>
              <w:shd w:val="clear" w:color="auto" w:fill="FFFFFF"/>
              <w:spacing w:before="0" w:beforeAutospacing="0" w:after="0" w:afterAutospacing="0" w:line="255" w:lineRule="atLeast"/>
              <w:ind w:firstLine="180"/>
              <w:rPr>
                <w:rFonts w:hint="eastAsia" w:ascii="微软雅黑" w:hAnsi="微软雅黑" w:eastAsia="微软雅黑" w:cs="Times New Roman"/>
                <w:bCs/>
                <w:color w:val="000000"/>
                <w:kern w:val="2"/>
                <w:sz w:val="18"/>
                <w:szCs w:val="18"/>
              </w:rPr>
            </w:pPr>
            <w:r>
              <w:rPr>
                <w:rFonts w:hint="eastAsia" w:ascii="微软雅黑" w:hAnsi="微软雅黑" w:eastAsia="微软雅黑" w:cs="Times New Roman"/>
                <w:bCs/>
                <w:color w:val="000000"/>
                <w:kern w:val="2"/>
                <w:sz w:val="18"/>
                <w:szCs w:val="18"/>
              </w:rPr>
              <w:t>2.允许携带的危险物品包括：酒精饮料、电动轮椅、运动弹药、干冰、气溶胶、节能灯泡、含锂电池的电子设备、产生热量的物品等。锂电池运输规定：(a)请勿托运您的锂电池；(b)锂含量不超过2克的锂金属电池和额定能量不超过100瓦特小时的锂离子电池以旅途所需为准，需单个做好防短路措施；(c)锂含量超过2克但不超过8克的锂金属电池和额定能量超过100瓦特小时但不超过160瓦特小时的锂离子电池需向公司提出申请，单个做好防短路措施且数量不得超过2块。(d)可拆卸电池的锂电池驱动轮椅或行动辅助设备，电池必须拆下且额定能量不得超过300瓦特小时，拆下的电池须做好防短路措施，备用电池最多限带两个，如带一个，最大额定含量不得超过300瓦特小时，如带两个，单个不得超过160瓦特小时。(e)除锂电池驱动的轮椅或行动辅助设备以外，额定能量超过160 瓦特小时的锂离子电池或电池组，锂含量超过8克的锂金属电池或电池组，禁止航空运输。无法确定锂含量或额定能量的锂电池（例如标注不清晰或未标注，且无其他证明），公司拒绝运输。(f)锂电池移动电源（俗称“充电宝”）也视为备用锂电池运输，严禁将其放入托运行李。旅客不得在飞机飞行过程中使用锂电池移动电源给电子设备充电。对于有启动开关的锂电池移动电源，在飞行过程中应当确保锂电池移动电源始终处于关闭状态。</w:t>
            </w:r>
          </w:p>
          <w:p w14:paraId="7ABF1989">
            <w:pPr>
              <w:pStyle w:val="5"/>
              <w:shd w:val="clear" w:color="auto" w:fill="FFFFFF"/>
              <w:spacing w:before="0" w:beforeAutospacing="0" w:after="0" w:afterAutospacing="0" w:line="285" w:lineRule="atLeast"/>
              <w:rPr>
                <w:rFonts w:hint="eastAsia" w:cs="Times New Roman"/>
                <w:b/>
                <w:kern w:val="2"/>
                <w:sz w:val="18"/>
                <w:szCs w:val="18"/>
              </w:rPr>
            </w:pPr>
            <w:r>
              <w:rPr>
                <w:rFonts w:hint="eastAsia" w:cs="Times New Roman"/>
                <w:b/>
                <w:kern w:val="2"/>
                <w:sz w:val="18"/>
                <w:szCs w:val="18"/>
              </w:rPr>
              <w:t>六.儿童与婴儿</w:t>
            </w:r>
          </w:p>
          <w:p w14:paraId="1BC48753">
            <w:pPr>
              <w:pStyle w:val="5"/>
              <w:shd w:val="clear" w:color="auto" w:fill="FFFFFF"/>
              <w:spacing w:before="0" w:beforeAutospacing="0" w:after="0" w:afterAutospacing="0" w:line="285" w:lineRule="atLeast"/>
              <w:ind w:firstLine="195"/>
              <w:rPr>
                <w:rFonts w:hint="eastAsia" w:ascii="微软雅黑" w:hAnsi="微软雅黑" w:eastAsia="微软雅黑" w:cs="Times New Roman"/>
                <w:bCs/>
                <w:color w:val="000000"/>
                <w:kern w:val="2"/>
                <w:sz w:val="18"/>
                <w:szCs w:val="18"/>
              </w:rPr>
            </w:pPr>
            <w:r>
              <w:rPr>
                <w:rFonts w:hint="eastAsia" w:ascii="微软雅黑" w:hAnsi="微软雅黑" w:eastAsia="微软雅黑" w:cs="Times New Roman"/>
                <w:bCs/>
                <w:color w:val="000000"/>
                <w:kern w:val="2"/>
                <w:sz w:val="18"/>
                <w:szCs w:val="18"/>
              </w:rPr>
              <w:t>1. 婴儿应由年满18周岁以上成人携带方可，每位成人携带婴儿不得超过2名。每一成人旅客携带婴儿超过1名时，超过人数的婴儿应购买儿童票并单独占座。</w:t>
            </w:r>
          </w:p>
          <w:p w14:paraId="59CE43B8">
            <w:pPr>
              <w:pStyle w:val="5"/>
              <w:shd w:val="clear" w:color="auto" w:fill="FFFFFF"/>
              <w:spacing w:before="0" w:beforeAutospacing="0" w:after="0" w:afterAutospacing="0" w:line="285" w:lineRule="atLeast"/>
              <w:ind w:firstLine="195"/>
              <w:rPr>
                <w:rFonts w:hint="eastAsia" w:ascii="微软雅黑" w:hAnsi="微软雅黑" w:eastAsia="微软雅黑" w:cs="Times New Roman"/>
                <w:bCs/>
                <w:color w:val="000000"/>
                <w:kern w:val="2"/>
                <w:sz w:val="18"/>
                <w:szCs w:val="18"/>
              </w:rPr>
            </w:pPr>
            <w:r>
              <w:rPr>
                <w:rFonts w:hint="eastAsia" w:ascii="微软雅黑" w:hAnsi="微软雅黑" w:eastAsia="微软雅黑" w:cs="Times New Roman"/>
                <w:bCs/>
                <w:color w:val="000000"/>
                <w:kern w:val="2"/>
                <w:sz w:val="18"/>
                <w:szCs w:val="18"/>
              </w:rPr>
              <w:t>2.儿童乘机应由年满18周岁以上成人陪伴，若单独乘机需办理无成人陪伴儿童服务。</w:t>
            </w:r>
          </w:p>
          <w:p w14:paraId="673AE08A">
            <w:pPr>
              <w:pStyle w:val="5"/>
              <w:shd w:val="clear" w:color="auto" w:fill="FFFFFF"/>
              <w:spacing w:before="0" w:beforeAutospacing="0" w:after="0" w:afterAutospacing="0" w:line="285" w:lineRule="atLeast"/>
              <w:rPr>
                <w:rFonts w:hint="eastAsia" w:cs="Times New Roman"/>
                <w:b/>
                <w:kern w:val="2"/>
                <w:sz w:val="18"/>
                <w:szCs w:val="18"/>
              </w:rPr>
            </w:pPr>
            <w:r>
              <w:rPr>
                <w:rFonts w:hint="eastAsia" w:cs="Times New Roman"/>
                <w:b/>
                <w:kern w:val="2"/>
                <w:sz w:val="18"/>
                <w:szCs w:val="18"/>
              </w:rPr>
              <w:t>七.航班衔接</w:t>
            </w:r>
          </w:p>
          <w:p w14:paraId="6B226EB4">
            <w:pPr>
              <w:pStyle w:val="5"/>
              <w:shd w:val="clear" w:color="auto" w:fill="FFFFFF"/>
              <w:spacing w:before="0" w:beforeAutospacing="0" w:after="0" w:afterAutospacing="0" w:line="285" w:lineRule="atLeast"/>
              <w:ind w:firstLine="300"/>
              <w:rPr>
                <w:rFonts w:hint="eastAsia" w:ascii="微软雅黑" w:hAnsi="微软雅黑" w:eastAsia="微软雅黑" w:cs="Times New Roman"/>
                <w:bCs/>
                <w:color w:val="000000"/>
                <w:kern w:val="2"/>
                <w:sz w:val="18"/>
                <w:szCs w:val="18"/>
              </w:rPr>
            </w:pPr>
            <w:r>
              <w:rPr>
                <w:rFonts w:hint="eastAsia" w:ascii="微软雅黑" w:hAnsi="微软雅黑" w:eastAsia="微软雅黑" w:cs="Times New Roman"/>
                <w:bCs/>
                <w:color w:val="000000"/>
                <w:kern w:val="2"/>
                <w:sz w:val="18"/>
                <w:szCs w:val="18"/>
              </w:rPr>
              <w:t>对于需要购买多个航段组合旅行的旅客，春秋航空推荐您购买我们在航班衔接时间上经过合理安排的中转连程套票。若您自行购买多个航段客票旅行，请务必保证同一城市两个机场间的航班衔接（包括国内航班与国际航班衔接，国际航班之间的衔接，国内航班之间的衔接）时间不得少于5小时；同一机场国内航班衔接时间不得少于2小时，国际航班衔接（包括国内航班与国际航班衔接，国际航班之间的衔接）时间不得少于3小时。</w:t>
            </w:r>
          </w:p>
          <w:p w14:paraId="046E474C">
            <w:pPr>
              <w:spacing w:line="320" w:lineRule="exact"/>
              <w:rPr>
                <w:rFonts w:ascii="微软雅黑" w:hAnsi="微软雅黑" w:eastAsia="微软雅黑" w:cs="微软雅黑"/>
                <w:color w:val="000000"/>
                <w:sz w:val="18"/>
              </w:rPr>
            </w:pPr>
            <w:r>
              <w:rPr>
                <w:rFonts w:ascii="微软雅黑" w:hAnsi="微软雅黑" w:eastAsia="微软雅黑" w:cs="微软雅黑"/>
                <w:color w:val="000000"/>
                <w:sz w:val="18"/>
              </w:rPr>
              <w:t> 旅游者（客人）声明：本人及本人代表参团的全体同行人，对以上行程表及备注内容已详细阅读，了解并同意相关条款的约定，自双方签字或盖章之日起生效。</w:t>
            </w:r>
          </w:p>
          <w:p w14:paraId="66829158">
            <w:pPr>
              <w:pStyle w:val="10"/>
              <w:ind w:left="0" w:leftChars="0" w:firstLine="0" w:firstLineChars="0"/>
              <w:rPr>
                <w:rFonts w:hint="eastAsia" w:ascii="微软雅黑" w:hAnsi="微软雅黑" w:eastAsia="微软雅黑" w:cs="微软雅黑"/>
                <w:color w:val="000000"/>
                <w:sz w:val="18"/>
                <w:lang w:eastAsia="zh-CN"/>
              </w:rPr>
            </w:pPr>
          </w:p>
          <w:p w14:paraId="5C5F0936">
            <w:pPr>
              <w:spacing w:line="320" w:lineRule="exact"/>
              <w:rPr>
                <w:rFonts w:hint="eastAsia" w:ascii="微软雅黑" w:hAnsi="微软雅黑" w:eastAsia="微软雅黑" w:cs="微软雅黑"/>
                <w:color w:val="000000"/>
                <w:sz w:val="18"/>
                <w:lang w:eastAsia="zh-CN"/>
              </w:rPr>
            </w:pPr>
            <w:r>
              <w:rPr>
                <w:rFonts w:ascii="微软雅黑" w:hAnsi="微软雅黑" w:eastAsia="微软雅黑" w:cs="微软雅黑"/>
                <w:color w:val="000000"/>
                <w:sz w:val="18"/>
              </w:rPr>
              <w:t>客人签名：                          旅行社（经办人）签名和盖章</w:t>
            </w:r>
            <w:r>
              <w:rPr>
                <w:rFonts w:hint="eastAsia" w:ascii="微软雅黑" w:hAnsi="微软雅黑" w:eastAsia="微软雅黑" w:cs="微软雅黑"/>
                <w:color w:val="000000"/>
                <w:sz w:val="18"/>
              </w:rPr>
              <w:t>：</w:t>
            </w:r>
          </w:p>
          <w:p w14:paraId="55424EF3">
            <w:pPr>
              <w:spacing w:line="320" w:lineRule="exact"/>
              <w:rPr>
                <w:rFonts w:hint="eastAsia" w:ascii="宋体" w:hAnsi="宋体" w:cs="Arial"/>
                <w:sz w:val="18"/>
                <w:szCs w:val="18"/>
              </w:rPr>
            </w:pPr>
            <w:r>
              <w:rPr>
                <w:rFonts w:ascii="微软雅黑" w:hAnsi="微软雅黑" w:eastAsia="微软雅黑" w:cs="微软雅黑"/>
                <w:color w:val="000000"/>
                <w:sz w:val="18"/>
              </w:rPr>
              <w:t>日期：                             日期：</w:t>
            </w:r>
          </w:p>
        </w:tc>
      </w:tr>
    </w:tbl>
    <w:p w14:paraId="2109CA9D"/>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inherit">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69D2CB"/>
    <w:multiLevelType w:val="singleLevel"/>
    <w:tmpl w:val="7869D2C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3NTYyZWFjYTk5NWE5YTZiOTAwMGVlMjhhZGYxMjcifQ=="/>
  </w:docVars>
  <w:rsids>
    <w:rsidRoot w:val="13070032"/>
    <w:rsid w:val="00D16CCE"/>
    <w:rsid w:val="04F02BE0"/>
    <w:rsid w:val="061D52E7"/>
    <w:rsid w:val="06A46368"/>
    <w:rsid w:val="07084DF8"/>
    <w:rsid w:val="0D6039C1"/>
    <w:rsid w:val="0E4368B5"/>
    <w:rsid w:val="0EE93B42"/>
    <w:rsid w:val="0F72406E"/>
    <w:rsid w:val="13070032"/>
    <w:rsid w:val="138B551C"/>
    <w:rsid w:val="17BF2886"/>
    <w:rsid w:val="19691355"/>
    <w:rsid w:val="19841CA7"/>
    <w:rsid w:val="1A972CEB"/>
    <w:rsid w:val="1AFD240B"/>
    <w:rsid w:val="1B7C5A23"/>
    <w:rsid w:val="241506F8"/>
    <w:rsid w:val="264464AA"/>
    <w:rsid w:val="27312D47"/>
    <w:rsid w:val="27A7316B"/>
    <w:rsid w:val="2BDA09AF"/>
    <w:rsid w:val="2F4B75B1"/>
    <w:rsid w:val="30A26CCF"/>
    <w:rsid w:val="317F722F"/>
    <w:rsid w:val="319D6EDC"/>
    <w:rsid w:val="32A22B7F"/>
    <w:rsid w:val="345856B6"/>
    <w:rsid w:val="380F5707"/>
    <w:rsid w:val="38DA5590"/>
    <w:rsid w:val="38F04396"/>
    <w:rsid w:val="3AB26A42"/>
    <w:rsid w:val="3C3F1D2E"/>
    <w:rsid w:val="3D2E616D"/>
    <w:rsid w:val="3D4A066D"/>
    <w:rsid w:val="3DA46DF1"/>
    <w:rsid w:val="40185875"/>
    <w:rsid w:val="4318697E"/>
    <w:rsid w:val="433C7ACC"/>
    <w:rsid w:val="43BE71A1"/>
    <w:rsid w:val="441C7E3C"/>
    <w:rsid w:val="46712D7E"/>
    <w:rsid w:val="46FF32EA"/>
    <w:rsid w:val="494D6999"/>
    <w:rsid w:val="49F01DD4"/>
    <w:rsid w:val="4A38337A"/>
    <w:rsid w:val="4C0219AC"/>
    <w:rsid w:val="4CA90632"/>
    <w:rsid w:val="4DC7065D"/>
    <w:rsid w:val="4E7F2FA3"/>
    <w:rsid w:val="4F251D5C"/>
    <w:rsid w:val="52DE6B22"/>
    <w:rsid w:val="543B5EBC"/>
    <w:rsid w:val="5473294E"/>
    <w:rsid w:val="558F26B4"/>
    <w:rsid w:val="567B63BE"/>
    <w:rsid w:val="57BD6F75"/>
    <w:rsid w:val="57CA7662"/>
    <w:rsid w:val="587B3E76"/>
    <w:rsid w:val="5A69660B"/>
    <w:rsid w:val="5E0628C0"/>
    <w:rsid w:val="616B2636"/>
    <w:rsid w:val="629936C8"/>
    <w:rsid w:val="63991F6C"/>
    <w:rsid w:val="66594881"/>
    <w:rsid w:val="67DC3A8C"/>
    <w:rsid w:val="68F60822"/>
    <w:rsid w:val="69842468"/>
    <w:rsid w:val="6D1E72EA"/>
    <w:rsid w:val="6D6204FB"/>
    <w:rsid w:val="6E05119B"/>
    <w:rsid w:val="6F2A64A1"/>
    <w:rsid w:val="70080D87"/>
    <w:rsid w:val="718B2841"/>
    <w:rsid w:val="728A7FD2"/>
    <w:rsid w:val="734B14E2"/>
    <w:rsid w:val="74BF014E"/>
    <w:rsid w:val="768E78F0"/>
    <w:rsid w:val="7716630F"/>
    <w:rsid w:val="78235A2F"/>
    <w:rsid w:val="795E1934"/>
    <w:rsid w:val="7AC34046"/>
    <w:rsid w:val="7B082245"/>
    <w:rsid w:val="7C010352"/>
    <w:rsid w:val="7E141E8F"/>
    <w:rsid w:val="7F6C6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22"/>
    <w:rPr>
      <w:b/>
      <w:bCs/>
    </w:rPr>
  </w:style>
  <w:style w:type="paragraph" w:customStyle="1" w:styleId="10">
    <w:name w:val="列出段落1"/>
    <w:basedOn w:val="1"/>
    <w:autoRedefine/>
    <w:qFormat/>
    <w:uiPriority w:val="99"/>
    <w:pPr>
      <w:ind w:firstLine="420" w:firstLineChars="200"/>
    </w:pPr>
  </w:style>
  <w:style w:type="table" w:customStyle="1" w:styleId="11">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14329</Words>
  <Characters>14821</Characters>
  <Lines>0</Lines>
  <Paragraphs>0</Paragraphs>
  <TotalTime>2</TotalTime>
  <ScaleCrop>false</ScaleCrop>
  <LinksUpToDate>false</LinksUpToDate>
  <CharactersWithSpaces>15007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2023-01-22T16:02:00Z</dcterms:created>
  <dc:creator>L</dc:creator>
  <cp:lastModifiedBy>jojohu</cp:lastModifiedBy>
  <dcterms:modified xsi:type="dcterms:W3CDTF">2024-09-05T10:52:32Z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1063029DC375470BB5B9477D98FCFC11_13</vt:lpwstr>
  </property>
</Properties>
</file>