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u w:val="none"/>
        </w:rPr>
      </w:pPr>
      <w:r>
        <w:rPr>
          <w:rFonts w:hint="eastAsia" w:ascii="宋体" w:hAnsi="宋体" w:cs="宋体"/>
          <w:b/>
          <w:color w:val="000000"/>
          <w:sz w:val="36"/>
          <w:szCs w:val="36"/>
          <w:u w:val="none"/>
        </w:rPr>
        <w:t>自费购物补充协议</w:t>
      </w:r>
    </w:p>
    <w:p>
      <w:pPr>
        <w:spacing w:line="400" w:lineRule="exact"/>
        <w:ind w:left="395" w:right="823" w:rightChars="364" w:hanging="395" w:hangingChars="175"/>
        <w:rPr>
          <w:rFonts w:hint="eastAsia" w:ascii="宋体" w:hAnsi="宋体" w:cs="宋体"/>
          <w:u w:val="none"/>
        </w:rPr>
      </w:pPr>
    </w:p>
    <w:p>
      <w:pPr>
        <w:pStyle w:val="2"/>
        <w:ind w:firstLine="0" w:firstLineChars="0"/>
        <w:rPr>
          <w:rFonts w:hint="eastAsia" w:ascii="宋体" w:hAnsi="宋体" w:cs="宋体"/>
          <w:bCs/>
          <w:sz w:val="22"/>
          <w:szCs w:val="22"/>
          <w:u w:val="none"/>
        </w:rPr>
      </w:pPr>
      <w:r>
        <w:rPr>
          <w:rFonts w:hint="eastAsia" w:ascii="宋体" w:hAnsi="宋体" w:cs="宋体"/>
          <w:bCs/>
          <w:sz w:val="22"/>
          <w:szCs w:val="22"/>
          <w:u w:val="none"/>
        </w:rPr>
        <w:t>甲方：                    （组团社）</w:t>
      </w:r>
    </w:p>
    <w:p>
      <w:pPr>
        <w:pStyle w:val="2"/>
        <w:ind w:firstLine="0" w:firstLineChars="0"/>
        <w:rPr>
          <w:rFonts w:hint="eastAsia" w:ascii="宋体" w:hAnsi="宋体" w:cs="宋体"/>
          <w:bCs/>
          <w:sz w:val="22"/>
          <w:szCs w:val="22"/>
          <w:u w:val="none"/>
        </w:rPr>
      </w:pPr>
      <w:r>
        <w:rPr>
          <w:rFonts w:hint="eastAsia" w:ascii="宋体" w:hAnsi="宋体" w:cs="宋体"/>
          <w:bCs/>
          <w:sz w:val="22"/>
          <w:szCs w:val="22"/>
          <w:u w:val="none"/>
        </w:rPr>
        <w:t>乙方：              等     人（参团者）</w:t>
      </w:r>
    </w:p>
    <w:p>
      <w:pPr>
        <w:pStyle w:val="2"/>
        <w:ind w:firstLine="0" w:firstLineChars="0"/>
        <w:rPr>
          <w:rFonts w:hint="eastAsia" w:ascii="宋体" w:hAnsi="宋体" w:cs="宋体"/>
          <w:bCs/>
          <w:sz w:val="22"/>
          <w:szCs w:val="22"/>
          <w:u w:val="none"/>
        </w:rPr>
      </w:pPr>
    </w:p>
    <w:p>
      <w:pPr>
        <w:pStyle w:val="2"/>
        <w:ind w:firstLine="472"/>
        <w:rPr>
          <w:rFonts w:hint="eastAsia" w:ascii="宋体" w:hAnsi="宋体" w:cs="宋体"/>
          <w:bCs/>
          <w:sz w:val="22"/>
          <w:szCs w:val="22"/>
          <w:u w:val="none"/>
        </w:rPr>
      </w:pPr>
      <w:r>
        <w:rPr>
          <w:rFonts w:hint="eastAsia" w:ascii="宋体" w:hAnsi="宋体" w:cs="宋体"/>
          <w:bCs/>
          <w:sz w:val="22"/>
          <w:szCs w:val="22"/>
          <w:u w:val="none"/>
        </w:rPr>
        <w:t>依据《中华人民共和国旅游法》“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之规定。</w:t>
      </w:r>
    </w:p>
    <w:p>
      <w:pPr>
        <w:pStyle w:val="2"/>
        <w:ind w:firstLine="0" w:firstLineChars="0"/>
        <w:rPr>
          <w:rFonts w:hint="eastAsia" w:ascii="宋体" w:hAnsi="宋体" w:cs="宋体"/>
          <w:bCs/>
          <w:sz w:val="22"/>
          <w:szCs w:val="22"/>
          <w:u w:val="none"/>
        </w:rPr>
      </w:pPr>
      <w:r>
        <w:rPr>
          <w:rFonts w:hint="eastAsia" w:ascii="宋体" w:hAnsi="宋体" w:cs="宋体"/>
          <w:bCs/>
          <w:sz w:val="22"/>
          <w:szCs w:val="22"/>
          <w:u w:val="none"/>
        </w:rPr>
        <w:t>一、现乙方要求并经双方协商一致，同意在原定行程中安排如下项目：</w:t>
      </w:r>
    </w:p>
    <w:p>
      <w:pPr>
        <w:spacing w:line="400" w:lineRule="exact"/>
        <w:ind w:right="823" w:rightChars="364"/>
        <w:rPr>
          <w:rFonts w:hint="eastAsia" w:ascii="宋体" w:hAnsi="宋体" w:cs="宋体"/>
        </w:rPr>
      </w:pPr>
      <w:r>
        <w:rPr>
          <w:rFonts w:hint="eastAsia" w:ascii="宋体" w:hAnsi="宋体" w:cs="宋体"/>
          <w:u w:val="none"/>
        </w:rPr>
        <w:t>&lt;一&gt; 安排进店内容</w:t>
      </w:r>
    </w:p>
    <w:tbl>
      <w:tblPr>
        <w:tblStyle w:val="3"/>
        <w:tblpPr w:leftFromText="180" w:rightFromText="180" w:vertAnchor="text" w:horzAnchor="page" w:tblpX="760" w:tblpY="380"/>
        <w:tblOverlap w:val="never"/>
        <w:tblW w:w="0" w:type="auto"/>
        <w:tblInd w:w="0" w:type="dxa"/>
        <w:tblLayout w:type="fixed"/>
        <w:tblCellMar>
          <w:top w:w="0" w:type="dxa"/>
          <w:left w:w="108" w:type="dxa"/>
          <w:bottom w:w="0" w:type="dxa"/>
          <w:right w:w="108" w:type="dxa"/>
        </w:tblCellMar>
      </w:tblPr>
      <w:tblGrid>
        <w:gridCol w:w="1628"/>
        <w:gridCol w:w="1192"/>
        <w:gridCol w:w="3480"/>
        <w:gridCol w:w="2430"/>
        <w:gridCol w:w="1965"/>
      </w:tblGrid>
      <w:tr>
        <w:tblPrEx>
          <w:tblCellMar>
            <w:top w:w="0" w:type="dxa"/>
            <w:left w:w="108" w:type="dxa"/>
            <w:bottom w:w="0" w:type="dxa"/>
            <w:right w:w="108" w:type="dxa"/>
          </w:tblCellMar>
        </w:tblPrEx>
        <w:trPr>
          <w:trHeight w:val="304" w:hRule="atLeast"/>
        </w:trPr>
        <w:tc>
          <w:tcPr>
            <w:tcW w:w="10695" w:type="dxa"/>
            <w:gridSpan w:val="5"/>
            <w:tcBorders>
              <w:top w:val="single" w:color="auto" w:sz="4" w:space="0"/>
              <w:left w:val="single" w:color="auto" w:sz="4" w:space="0"/>
              <w:bottom w:val="single" w:color="auto" w:sz="4" w:space="0"/>
              <w:right w:val="single" w:color="auto" w:sz="4" w:space="0"/>
            </w:tcBorders>
            <w:shd w:val="clear" w:color="auto" w:fill="00A4DA"/>
            <w:noWrap w:val="0"/>
            <w:vAlign w:val="top"/>
          </w:tcPr>
          <w:p>
            <w:pPr>
              <w:spacing w:line="440" w:lineRule="exact"/>
              <w:rPr>
                <w:rFonts w:ascii="宋体" w:hAnsi="宋体"/>
                <w:u w:val="none"/>
              </w:rPr>
            </w:pPr>
            <w:r>
              <w:rPr>
                <w:rFonts w:hint="eastAsia" w:ascii="宋体" w:hAnsi="宋体"/>
                <w:u w:val="none"/>
              </w:rPr>
              <w:t>购物及自费项目（以下套餐价格和项目仅供参考，以实际为准）</w:t>
            </w:r>
          </w:p>
        </w:tc>
      </w:tr>
      <w:tr>
        <w:tblPrEx>
          <w:tblCellMar>
            <w:top w:w="0" w:type="dxa"/>
            <w:left w:w="108" w:type="dxa"/>
            <w:bottom w:w="0" w:type="dxa"/>
            <w:right w:w="108" w:type="dxa"/>
          </w:tblCellMar>
        </w:tblPrEx>
        <w:trPr>
          <w:trHeight w:val="156" w:hRule="atLeast"/>
        </w:trPr>
        <w:tc>
          <w:tcPr>
            <w:tcW w:w="1628" w:type="dxa"/>
            <w:vMerge w:val="restart"/>
            <w:tcBorders>
              <w:top w:val="nil"/>
              <w:left w:val="single" w:color="auto" w:sz="4" w:space="0"/>
              <w:right w:val="single" w:color="auto" w:sz="4" w:space="0"/>
            </w:tcBorders>
            <w:noWrap w:val="0"/>
            <w:vAlign w:val="center"/>
          </w:tcPr>
          <w:p>
            <w:pPr>
              <w:spacing w:line="440" w:lineRule="exact"/>
              <w:jc w:val="center"/>
              <w:rPr>
                <w:rFonts w:ascii="宋体" w:hAnsi="宋体"/>
                <w:u w:val="none"/>
              </w:rPr>
            </w:pPr>
            <w:r>
              <w:rPr>
                <w:rFonts w:hint="eastAsia" w:ascii="宋体" w:hAnsi="宋体"/>
                <w:u w:val="none"/>
              </w:rPr>
              <w:t>购物点参考</w:t>
            </w:r>
          </w:p>
        </w:tc>
        <w:tc>
          <w:tcPr>
            <w:tcW w:w="4672" w:type="dxa"/>
            <w:gridSpan w:val="2"/>
            <w:tcBorders>
              <w:top w:val="single" w:color="auto" w:sz="4" w:space="0"/>
              <w:left w:val="nil"/>
              <w:bottom w:val="single" w:color="auto" w:sz="4" w:space="0"/>
              <w:right w:val="single" w:color="auto" w:sz="4" w:space="0"/>
            </w:tcBorders>
            <w:noWrap w:val="0"/>
            <w:vAlign w:val="top"/>
          </w:tcPr>
          <w:p>
            <w:pPr>
              <w:spacing w:line="440" w:lineRule="exact"/>
              <w:jc w:val="center"/>
              <w:rPr>
                <w:rFonts w:ascii="宋体" w:hAnsi="宋体"/>
                <w:u w:val="none"/>
              </w:rPr>
            </w:pPr>
            <w:r>
              <w:rPr>
                <w:rFonts w:hint="eastAsia" w:ascii="宋体" w:hAnsi="宋体"/>
                <w:u w:val="none"/>
              </w:rPr>
              <w:t>商店名称</w:t>
            </w:r>
          </w:p>
        </w:tc>
        <w:tc>
          <w:tcPr>
            <w:tcW w:w="2430" w:type="dxa"/>
            <w:tcBorders>
              <w:top w:val="single" w:color="auto" w:sz="4" w:space="0"/>
              <w:left w:val="nil"/>
              <w:bottom w:val="single" w:color="auto" w:sz="4" w:space="0"/>
              <w:right w:val="single" w:color="auto" w:sz="4" w:space="0"/>
            </w:tcBorders>
            <w:noWrap w:val="0"/>
            <w:vAlign w:val="top"/>
          </w:tcPr>
          <w:p>
            <w:pPr>
              <w:spacing w:line="440" w:lineRule="exact"/>
              <w:jc w:val="center"/>
              <w:rPr>
                <w:rFonts w:ascii="宋体" w:hAnsi="宋体"/>
                <w:u w:val="none"/>
              </w:rPr>
            </w:pPr>
            <w:r>
              <w:rPr>
                <w:rFonts w:hint="eastAsia" w:ascii="宋体" w:hAnsi="宋体"/>
                <w:u w:val="none"/>
              </w:rPr>
              <w:t>购物内容</w:t>
            </w:r>
          </w:p>
        </w:tc>
        <w:tc>
          <w:tcPr>
            <w:tcW w:w="1965" w:type="dxa"/>
            <w:tcBorders>
              <w:top w:val="single" w:color="auto" w:sz="4" w:space="0"/>
              <w:left w:val="nil"/>
              <w:bottom w:val="single" w:color="auto" w:sz="4" w:space="0"/>
              <w:right w:val="single" w:color="auto" w:sz="4" w:space="0"/>
            </w:tcBorders>
            <w:noWrap w:val="0"/>
            <w:vAlign w:val="top"/>
          </w:tcPr>
          <w:p>
            <w:pPr>
              <w:spacing w:line="440" w:lineRule="exact"/>
              <w:jc w:val="center"/>
              <w:rPr>
                <w:rFonts w:ascii="宋体" w:hAnsi="宋体"/>
                <w:u w:val="none"/>
              </w:rPr>
            </w:pPr>
            <w:r>
              <w:rPr>
                <w:rFonts w:hint="eastAsia" w:ascii="宋体" w:hAnsi="宋体"/>
                <w:u w:val="none"/>
              </w:rPr>
              <w:t>时间安排</w:t>
            </w:r>
          </w:p>
        </w:tc>
      </w:tr>
      <w:tr>
        <w:tblPrEx>
          <w:tblCellMar>
            <w:top w:w="0" w:type="dxa"/>
            <w:left w:w="108" w:type="dxa"/>
            <w:bottom w:w="0" w:type="dxa"/>
            <w:right w:w="108" w:type="dxa"/>
          </w:tblCellMar>
        </w:tblPrEx>
        <w:trPr>
          <w:trHeight w:val="448" w:hRule="atLeast"/>
        </w:trPr>
        <w:tc>
          <w:tcPr>
            <w:tcW w:w="1628" w:type="dxa"/>
            <w:vMerge w:val="continue"/>
            <w:tcBorders>
              <w:left w:val="single" w:color="auto" w:sz="4" w:space="0"/>
              <w:right w:val="single" w:color="auto" w:sz="4" w:space="0"/>
            </w:tcBorders>
            <w:noWrap w:val="0"/>
            <w:vAlign w:val="center"/>
          </w:tcPr>
          <w:p>
            <w:pPr>
              <w:widowControl/>
              <w:spacing w:line="440" w:lineRule="exact"/>
              <w:jc w:val="left"/>
              <w:rPr>
                <w:rFonts w:ascii="宋体" w:hAnsi="宋体"/>
                <w:u w:val="none"/>
              </w:rPr>
            </w:pPr>
          </w:p>
        </w:tc>
        <w:tc>
          <w:tcPr>
            <w:tcW w:w="1192" w:type="dxa"/>
            <w:tcBorders>
              <w:left w:val="nil"/>
              <w:bottom w:val="single" w:color="auto" w:sz="4" w:space="0"/>
              <w:right w:val="single" w:color="auto" w:sz="4" w:space="0"/>
            </w:tcBorders>
            <w:noWrap w:val="0"/>
            <w:vAlign w:val="center"/>
          </w:tcPr>
          <w:p>
            <w:pPr>
              <w:spacing w:line="440" w:lineRule="exact"/>
              <w:jc w:val="center"/>
              <w:rPr>
                <w:rFonts w:hint="eastAsia" w:ascii="宋体" w:hAnsi="宋体"/>
                <w:u w:val="none"/>
              </w:rPr>
            </w:pPr>
            <w:r>
              <w:rPr>
                <w:rFonts w:hint="eastAsia" w:ascii="宋体" w:hAnsi="宋体"/>
                <w:u w:val="none"/>
              </w:rPr>
              <w:t>第五天</w:t>
            </w:r>
          </w:p>
        </w:tc>
        <w:tc>
          <w:tcPr>
            <w:tcW w:w="3480" w:type="dxa"/>
            <w:tcBorders>
              <w:top w:val="single" w:color="auto" w:sz="4" w:space="0"/>
              <w:left w:val="nil"/>
              <w:bottom w:val="single" w:color="auto" w:sz="4" w:space="0"/>
              <w:right w:val="single" w:color="auto" w:sz="4" w:space="0"/>
            </w:tcBorders>
            <w:noWrap w:val="0"/>
            <w:vAlign w:val="top"/>
          </w:tcPr>
          <w:p>
            <w:pPr>
              <w:rPr>
                <w:rFonts w:hint="eastAsia" w:ascii="宋体" w:hAnsi="宋体" w:cs="宋体"/>
                <w:color w:val="000000"/>
                <w:u w:val="none"/>
              </w:rPr>
            </w:pPr>
            <w:r>
              <w:rPr>
                <w:rFonts w:hint="eastAsia" w:ascii="宋体" w:hAnsi="宋体" w:cs="宋体"/>
                <w:color w:val="000000"/>
                <w:u w:val="none"/>
              </w:rPr>
              <w:t>昆仑玉展览馆</w:t>
            </w:r>
          </w:p>
        </w:tc>
        <w:tc>
          <w:tcPr>
            <w:tcW w:w="2430" w:type="dxa"/>
            <w:tcBorders>
              <w:top w:val="single" w:color="auto" w:sz="4" w:space="0"/>
              <w:left w:val="nil"/>
              <w:bottom w:val="single" w:color="auto" w:sz="4" w:space="0"/>
              <w:right w:val="single" w:color="auto" w:sz="4" w:space="0"/>
            </w:tcBorders>
            <w:noWrap w:val="0"/>
            <w:vAlign w:val="top"/>
          </w:tcPr>
          <w:p>
            <w:pPr>
              <w:spacing w:line="440" w:lineRule="exact"/>
              <w:rPr>
                <w:rFonts w:ascii="宋体" w:hAnsi="宋体"/>
                <w:u w:val="none"/>
              </w:rPr>
            </w:pPr>
            <w:r>
              <w:rPr>
                <w:rFonts w:hint="eastAsia" w:ascii="宋体" w:hAnsi="宋体"/>
                <w:u w:val="none"/>
              </w:rPr>
              <w:t>玉石、工艺品等</w:t>
            </w:r>
          </w:p>
        </w:tc>
        <w:tc>
          <w:tcPr>
            <w:tcW w:w="1965" w:type="dxa"/>
            <w:tcBorders>
              <w:top w:val="single" w:color="auto" w:sz="4" w:space="0"/>
              <w:left w:val="nil"/>
              <w:bottom w:val="single" w:color="auto" w:sz="4" w:space="0"/>
              <w:right w:val="single" w:color="auto" w:sz="4" w:space="0"/>
            </w:tcBorders>
            <w:noWrap w:val="0"/>
            <w:vAlign w:val="top"/>
          </w:tcPr>
          <w:p>
            <w:pPr>
              <w:spacing w:line="440" w:lineRule="exact"/>
              <w:rPr>
                <w:rFonts w:ascii="宋体" w:hAnsi="宋体"/>
                <w:u w:val="none"/>
              </w:rPr>
            </w:pPr>
            <w:r>
              <w:rPr>
                <w:rFonts w:hint="eastAsia" w:ascii="宋体" w:hAnsi="宋体"/>
                <w:u w:val="none"/>
              </w:rPr>
              <w:t>不</w:t>
            </w:r>
            <w:r>
              <w:rPr>
                <w:rFonts w:hint="eastAsia" w:ascii="宋体" w:hAnsi="宋体"/>
                <w:u w:val="none"/>
                <w:lang w:eastAsia="zh-CN"/>
              </w:rPr>
              <w:t>超过</w:t>
            </w:r>
            <w:r>
              <w:rPr>
                <w:rFonts w:hint="eastAsia" w:ascii="宋体" w:hAnsi="宋体"/>
                <w:u w:val="none"/>
              </w:rPr>
              <w:t>150分钟</w:t>
            </w:r>
          </w:p>
        </w:tc>
      </w:tr>
      <w:tr>
        <w:tblPrEx>
          <w:tblCellMar>
            <w:top w:w="0" w:type="dxa"/>
            <w:left w:w="108" w:type="dxa"/>
            <w:bottom w:w="0" w:type="dxa"/>
            <w:right w:w="108" w:type="dxa"/>
          </w:tblCellMar>
        </w:tblPrEx>
        <w:trPr>
          <w:trHeight w:val="276" w:hRule="atLeast"/>
        </w:trPr>
        <w:tc>
          <w:tcPr>
            <w:tcW w:w="1628" w:type="dxa"/>
            <w:vMerge w:val="continue"/>
            <w:tcBorders>
              <w:left w:val="single" w:color="auto" w:sz="4" w:space="0"/>
              <w:right w:val="single" w:color="auto" w:sz="4" w:space="0"/>
            </w:tcBorders>
            <w:noWrap w:val="0"/>
            <w:vAlign w:val="center"/>
          </w:tcPr>
          <w:p>
            <w:pPr>
              <w:widowControl/>
              <w:spacing w:line="440" w:lineRule="exact"/>
              <w:jc w:val="left"/>
              <w:rPr>
                <w:rFonts w:ascii="宋体" w:hAnsi="宋体"/>
                <w:u w:val="none"/>
              </w:rPr>
            </w:pPr>
          </w:p>
        </w:tc>
        <w:tc>
          <w:tcPr>
            <w:tcW w:w="1192"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u w:val="none"/>
              </w:rPr>
            </w:pPr>
            <w:r>
              <w:rPr>
                <w:rFonts w:hint="eastAsia" w:ascii="宋体" w:hAnsi="宋体"/>
                <w:u w:val="none"/>
              </w:rPr>
              <w:t>第五天</w:t>
            </w:r>
          </w:p>
        </w:tc>
        <w:tc>
          <w:tcPr>
            <w:tcW w:w="3480" w:type="dxa"/>
            <w:tcBorders>
              <w:top w:val="single" w:color="auto" w:sz="4" w:space="0"/>
              <w:left w:val="nil"/>
              <w:bottom w:val="single" w:color="auto" w:sz="4" w:space="0"/>
              <w:right w:val="single" w:color="auto" w:sz="4" w:space="0"/>
            </w:tcBorders>
            <w:noWrap w:val="0"/>
            <w:vAlign w:val="top"/>
          </w:tcPr>
          <w:p>
            <w:pPr>
              <w:rPr>
                <w:rFonts w:hint="eastAsia" w:ascii="宋体" w:hAnsi="宋体" w:cs="宋体"/>
                <w:color w:val="000000"/>
                <w:u w:val="none"/>
              </w:rPr>
            </w:pPr>
            <w:r>
              <w:rPr>
                <w:rFonts w:hint="eastAsia" w:ascii="宋体" w:hAnsi="宋体" w:cs="宋体"/>
                <w:color w:val="000000"/>
                <w:u w:val="none"/>
              </w:rPr>
              <w:t>青海藏医药展览馆</w:t>
            </w:r>
          </w:p>
        </w:tc>
        <w:tc>
          <w:tcPr>
            <w:tcW w:w="2430" w:type="dxa"/>
            <w:tcBorders>
              <w:top w:val="single" w:color="auto" w:sz="4" w:space="0"/>
              <w:left w:val="nil"/>
              <w:bottom w:val="single" w:color="auto" w:sz="4" w:space="0"/>
              <w:right w:val="single" w:color="auto" w:sz="4" w:space="0"/>
            </w:tcBorders>
            <w:noWrap w:val="0"/>
            <w:vAlign w:val="top"/>
          </w:tcPr>
          <w:p>
            <w:pPr>
              <w:spacing w:line="440" w:lineRule="exact"/>
              <w:rPr>
                <w:rFonts w:ascii="宋体" w:hAnsi="宋体"/>
                <w:u w:val="none"/>
              </w:rPr>
            </w:pPr>
            <w:r>
              <w:rPr>
                <w:rFonts w:hint="eastAsia" w:ascii="宋体" w:hAnsi="宋体"/>
                <w:u w:val="none"/>
              </w:rPr>
              <w:t>藏药、虫草等</w:t>
            </w:r>
          </w:p>
        </w:tc>
        <w:tc>
          <w:tcPr>
            <w:tcW w:w="1965" w:type="dxa"/>
            <w:tcBorders>
              <w:top w:val="single" w:color="auto" w:sz="4" w:space="0"/>
              <w:left w:val="nil"/>
              <w:bottom w:val="single" w:color="auto" w:sz="4" w:space="0"/>
              <w:right w:val="single" w:color="auto" w:sz="4" w:space="0"/>
            </w:tcBorders>
            <w:noWrap w:val="0"/>
            <w:vAlign w:val="top"/>
          </w:tcPr>
          <w:p>
            <w:pPr>
              <w:spacing w:line="440" w:lineRule="exact"/>
              <w:rPr>
                <w:rFonts w:ascii="宋体" w:hAnsi="宋体"/>
                <w:u w:val="none"/>
              </w:rPr>
            </w:pPr>
            <w:r>
              <w:rPr>
                <w:rFonts w:hint="eastAsia" w:ascii="宋体" w:hAnsi="宋体"/>
                <w:u w:val="none"/>
              </w:rPr>
              <w:t>不</w:t>
            </w:r>
            <w:r>
              <w:rPr>
                <w:rFonts w:hint="eastAsia" w:ascii="宋体" w:hAnsi="宋体"/>
                <w:u w:val="none"/>
                <w:lang w:eastAsia="zh-CN"/>
              </w:rPr>
              <w:t>超过</w:t>
            </w:r>
            <w:r>
              <w:rPr>
                <w:rFonts w:hint="eastAsia" w:ascii="宋体" w:hAnsi="宋体"/>
                <w:u w:val="none"/>
              </w:rPr>
              <w:t>120分钟</w:t>
            </w:r>
          </w:p>
        </w:tc>
      </w:tr>
      <w:tr>
        <w:tblPrEx>
          <w:tblCellMar>
            <w:top w:w="0" w:type="dxa"/>
            <w:left w:w="108" w:type="dxa"/>
            <w:bottom w:w="0" w:type="dxa"/>
            <w:right w:w="108" w:type="dxa"/>
          </w:tblCellMar>
        </w:tblPrEx>
        <w:trPr>
          <w:trHeight w:val="276" w:hRule="atLeast"/>
        </w:trPr>
        <w:tc>
          <w:tcPr>
            <w:tcW w:w="1628" w:type="dxa"/>
            <w:vMerge w:val="continue"/>
            <w:tcBorders>
              <w:left w:val="single" w:color="auto" w:sz="4" w:space="0"/>
              <w:right w:val="single" w:color="auto" w:sz="4" w:space="0"/>
            </w:tcBorders>
            <w:noWrap w:val="0"/>
            <w:vAlign w:val="center"/>
          </w:tcPr>
          <w:p>
            <w:pPr>
              <w:widowControl/>
              <w:spacing w:line="440" w:lineRule="exact"/>
              <w:jc w:val="left"/>
              <w:rPr>
                <w:rFonts w:ascii="宋体" w:hAnsi="宋体"/>
                <w:u w:val="none"/>
              </w:rPr>
            </w:pPr>
          </w:p>
        </w:tc>
        <w:tc>
          <w:tcPr>
            <w:tcW w:w="1192" w:type="dxa"/>
            <w:tcBorders>
              <w:top w:val="single" w:color="auto" w:sz="4" w:space="0"/>
              <w:left w:val="nil"/>
              <w:right w:val="single" w:color="auto" w:sz="4" w:space="0"/>
            </w:tcBorders>
            <w:noWrap w:val="0"/>
            <w:vAlign w:val="center"/>
          </w:tcPr>
          <w:p>
            <w:pPr>
              <w:widowControl/>
              <w:spacing w:line="440" w:lineRule="exact"/>
              <w:jc w:val="center"/>
              <w:rPr>
                <w:rFonts w:ascii="宋体" w:hAnsi="宋体"/>
                <w:u w:val="none"/>
              </w:rPr>
            </w:pPr>
            <w:r>
              <w:rPr>
                <w:rFonts w:hint="eastAsia" w:ascii="宋体" w:hAnsi="宋体"/>
                <w:u w:val="none"/>
              </w:rPr>
              <w:t>第五天</w:t>
            </w:r>
          </w:p>
        </w:tc>
        <w:tc>
          <w:tcPr>
            <w:tcW w:w="5910" w:type="dxa"/>
            <w:gridSpan w:val="2"/>
            <w:tcBorders>
              <w:top w:val="single" w:color="auto" w:sz="4" w:space="0"/>
              <w:left w:val="nil"/>
              <w:bottom w:val="single" w:color="auto" w:sz="4" w:space="0"/>
              <w:right w:val="single" w:color="auto" w:sz="4" w:space="0"/>
            </w:tcBorders>
            <w:noWrap w:val="0"/>
            <w:vAlign w:val="top"/>
          </w:tcPr>
          <w:p>
            <w:pPr>
              <w:spacing w:line="440" w:lineRule="exact"/>
              <w:rPr>
                <w:rFonts w:hint="eastAsia" w:ascii="宋体" w:hAnsi="宋体"/>
                <w:u w:val="none"/>
              </w:rPr>
            </w:pPr>
            <w:r>
              <w:rPr>
                <w:rFonts w:hint="eastAsia" w:ascii="宋体" w:hAnsi="宋体" w:cs="宋体"/>
                <w:color w:val="000000"/>
                <w:u w:val="none"/>
              </w:rPr>
              <w:t>藏饰文化馆/中华枸杞养生苑（2选1）</w:t>
            </w:r>
          </w:p>
        </w:tc>
        <w:tc>
          <w:tcPr>
            <w:tcW w:w="1965" w:type="dxa"/>
            <w:tcBorders>
              <w:top w:val="single" w:color="auto" w:sz="4" w:space="0"/>
              <w:left w:val="nil"/>
              <w:bottom w:val="single" w:color="auto" w:sz="4" w:space="0"/>
              <w:right w:val="single" w:color="auto" w:sz="4" w:space="0"/>
            </w:tcBorders>
            <w:noWrap w:val="0"/>
            <w:vAlign w:val="top"/>
          </w:tcPr>
          <w:p>
            <w:pPr>
              <w:spacing w:line="440" w:lineRule="exact"/>
              <w:rPr>
                <w:rFonts w:hint="eastAsia" w:ascii="宋体" w:hAnsi="宋体"/>
                <w:u w:val="none"/>
              </w:rPr>
            </w:pPr>
            <w:r>
              <w:rPr>
                <w:rFonts w:hint="eastAsia" w:ascii="宋体" w:hAnsi="宋体"/>
                <w:u w:val="none"/>
              </w:rPr>
              <w:t>不</w:t>
            </w:r>
            <w:r>
              <w:rPr>
                <w:rFonts w:hint="eastAsia" w:ascii="宋体" w:hAnsi="宋体"/>
                <w:u w:val="none"/>
                <w:lang w:eastAsia="zh-CN"/>
              </w:rPr>
              <w:t>超过</w:t>
            </w:r>
            <w:bookmarkStart w:id="0" w:name="_GoBack"/>
            <w:bookmarkEnd w:id="0"/>
            <w:r>
              <w:rPr>
                <w:rFonts w:hint="eastAsia" w:ascii="宋体" w:hAnsi="宋体"/>
                <w:u w:val="none"/>
              </w:rPr>
              <w:t>60分钟</w:t>
            </w:r>
          </w:p>
        </w:tc>
      </w:tr>
      <w:tr>
        <w:tblPrEx>
          <w:tblCellMar>
            <w:top w:w="0" w:type="dxa"/>
            <w:left w:w="108" w:type="dxa"/>
            <w:bottom w:w="0" w:type="dxa"/>
            <w:right w:w="108" w:type="dxa"/>
          </w:tblCellMar>
        </w:tblPrEx>
        <w:trPr>
          <w:trHeight w:val="276" w:hRule="atLeast"/>
        </w:trPr>
        <w:tc>
          <w:tcPr>
            <w:tcW w:w="1628"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u w:val="none"/>
              </w:rPr>
            </w:pPr>
            <w:r>
              <w:rPr>
                <w:rFonts w:hint="eastAsia" w:ascii="宋体" w:hAnsi="宋体"/>
                <w:u w:val="none"/>
              </w:rPr>
              <w:t>自费项目：</w:t>
            </w:r>
          </w:p>
        </w:tc>
        <w:tc>
          <w:tcPr>
            <w:tcW w:w="9067" w:type="dxa"/>
            <w:gridSpan w:val="4"/>
            <w:tcBorders>
              <w:top w:val="single" w:color="auto" w:sz="4" w:space="0"/>
              <w:left w:val="nil"/>
              <w:bottom w:val="single" w:color="auto" w:sz="4" w:space="0"/>
              <w:right w:val="single" w:color="auto" w:sz="4" w:space="0"/>
            </w:tcBorders>
            <w:noWrap w:val="0"/>
            <w:vAlign w:val="top"/>
          </w:tcPr>
          <w:p>
            <w:pPr>
              <w:spacing w:line="440" w:lineRule="exact"/>
              <w:rPr>
                <w:rFonts w:hint="eastAsia" w:ascii="宋体" w:hAnsi="宋体"/>
                <w:u w:val="none"/>
              </w:rPr>
            </w:pPr>
            <w:r>
              <w:rPr>
                <w:rFonts w:hint="eastAsia" w:ascii="宋体" w:hAnsi="宋体"/>
                <w:u w:val="none"/>
              </w:rPr>
              <w:t>全程无自费（景区内小交通等自理项目除外）</w:t>
            </w:r>
          </w:p>
        </w:tc>
      </w:tr>
    </w:tbl>
    <w:p>
      <w:pPr>
        <w:pStyle w:val="2"/>
        <w:ind w:firstLine="452"/>
        <w:rPr>
          <w:rFonts w:hint="eastAsia"/>
        </w:rPr>
      </w:pPr>
    </w:p>
    <w:p>
      <w:pPr>
        <w:pStyle w:val="2"/>
        <w:ind w:firstLine="452"/>
        <w:rPr>
          <w:rFonts w:hint="eastAsia" w:ascii="宋体" w:hAnsi="宋体" w:cs="宋体"/>
          <w:u w:val="none"/>
        </w:rPr>
      </w:pPr>
    </w:p>
    <w:p>
      <w:pPr>
        <w:pStyle w:val="2"/>
        <w:ind w:firstLine="452"/>
        <w:rPr>
          <w:rFonts w:hint="eastAsia" w:ascii="宋体" w:hAnsi="宋体" w:cs="宋体"/>
          <w:u w:val="none"/>
        </w:rPr>
      </w:pPr>
      <w:r>
        <w:rPr>
          <w:rFonts w:hint="eastAsia" w:ascii="宋体" w:hAnsi="宋体" w:cs="宋体"/>
          <w:u w:val="none"/>
        </w:rPr>
        <w:t>三、特别提示</w:t>
      </w:r>
    </w:p>
    <w:p>
      <w:pPr>
        <w:pStyle w:val="2"/>
        <w:ind w:firstLine="452"/>
        <w:rPr>
          <w:rFonts w:hint="eastAsia" w:ascii="宋体" w:hAnsi="宋体" w:cs="宋体"/>
          <w:u w:val="none"/>
        </w:rPr>
      </w:pPr>
      <w:r>
        <w:rPr>
          <w:rFonts w:hint="eastAsia" w:ascii="宋体" w:hAnsi="宋体" w:cs="宋体"/>
          <w:u w:val="none"/>
        </w:rPr>
        <w:t>&lt;一&gt;乙方应谨慎选择购物，在购物之前请斟酌品质、价格等因素。</w:t>
      </w:r>
    </w:p>
    <w:p>
      <w:pPr>
        <w:pStyle w:val="2"/>
        <w:ind w:firstLine="452"/>
        <w:rPr>
          <w:rFonts w:hint="eastAsia" w:ascii="宋体" w:hAnsi="宋体" w:cs="宋体"/>
          <w:u w:val="none"/>
        </w:rPr>
      </w:pPr>
      <w:r>
        <w:rPr>
          <w:rFonts w:hint="eastAsia" w:ascii="宋体" w:hAnsi="宋体" w:cs="宋体"/>
          <w:u w:val="none"/>
        </w:rPr>
        <w:t>&lt;四&gt;甲、乙双方签订本补充协议，由乙方自愿要求并经双方协商一致后签字确认，作为与甲方签订的《旅游合同》（合同号          ）的组成部分，并且以不影响原计划行程为原则。</w:t>
      </w:r>
    </w:p>
    <w:p>
      <w:pPr>
        <w:pStyle w:val="2"/>
        <w:ind w:firstLine="452"/>
        <w:rPr>
          <w:rFonts w:hint="eastAsia" w:ascii="宋体" w:hAnsi="宋体" w:cs="宋体"/>
          <w:u w:val="none"/>
        </w:rPr>
      </w:pPr>
      <w:r>
        <w:rPr>
          <w:rFonts w:hint="eastAsia" w:ascii="宋体" w:hAnsi="宋体" w:cs="宋体"/>
          <w:u w:val="none"/>
        </w:rPr>
        <w:t>&lt;五&gt;双方在签订《旅游合同》的同时签订了本补充协议，乙方已将相关费用交给甲方，如因整个团队中参加此项目的人数较少或其他原因而甲方或代理甲方接待乙方的地接社未能安排的，经双方签字确认后，甲方将所收取的相关费用（补充协议中的自费项目）全额退还给乙方，甲方不承担任何违约责任。</w:t>
      </w:r>
    </w:p>
    <w:p>
      <w:pPr>
        <w:pStyle w:val="2"/>
        <w:ind w:firstLine="452"/>
        <w:rPr>
          <w:rFonts w:hint="eastAsia" w:ascii="宋体" w:hAnsi="宋体" w:cs="宋体"/>
          <w:u w:val="none"/>
        </w:rPr>
      </w:pPr>
      <w:r>
        <w:rPr>
          <w:rFonts w:hint="eastAsia" w:ascii="宋体" w:hAnsi="宋体" w:cs="宋体"/>
          <w:u w:val="none"/>
        </w:rPr>
        <w:t>&lt;四&gt;乙方自愿参加的另付费项目，应根据自身经济状况、身体状况慎重考虑与选择。对于那些不适合自身身体状况的另付费项目不要参加，以免造成人身伤害和财产损失。乙方参加自己所选择的另付费项目，所产生的一切后果由乙方负责，甲方不承担任何责任。</w:t>
      </w:r>
    </w:p>
    <w:p>
      <w:pPr>
        <w:pStyle w:val="2"/>
        <w:numPr>
          <w:ilvl w:val="0"/>
          <w:numId w:val="1"/>
        </w:numPr>
        <w:ind w:firstLine="452"/>
        <w:rPr>
          <w:rFonts w:hint="eastAsia" w:ascii="宋体" w:hAnsi="宋体" w:cs="宋体"/>
          <w:u w:val="none"/>
        </w:rPr>
      </w:pPr>
      <w:r>
        <w:rPr>
          <w:rFonts w:hint="eastAsia" w:ascii="宋体" w:hAnsi="宋体" w:cs="宋体"/>
          <w:u w:val="none"/>
        </w:rPr>
        <w:t>本协议一式二份，双飞各持一份，自双方签字后生效。</w:t>
      </w:r>
    </w:p>
    <w:p>
      <w:pPr>
        <w:pStyle w:val="2"/>
        <w:ind w:firstLine="0" w:firstLineChars="0"/>
        <w:rPr>
          <w:rFonts w:hint="eastAsia" w:ascii="宋体" w:hAnsi="宋体" w:cs="宋体"/>
          <w:u w:val="none"/>
        </w:rPr>
      </w:pPr>
    </w:p>
    <w:p>
      <w:pPr>
        <w:pStyle w:val="2"/>
        <w:ind w:firstLine="0" w:firstLineChars="0"/>
        <w:rPr>
          <w:rFonts w:hint="eastAsia" w:ascii="宋体" w:hAnsi="宋体" w:cs="宋体"/>
          <w:u w:val="none"/>
        </w:rPr>
      </w:pPr>
    </w:p>
    <w:p>
      <w:pPr>
        <w:pStyle w:val="2"/>
        <w:ind w:firstLine="452"/>
        <w:rPr>
          <w:rFonts w:hint="eastAsia" w:ascii="宋体" w:hAnsi="宋体" w:cs="宋体"/>
          <w:u w:val="none"/>
        </w:rPr>
      </w:pPr>
      <w:r>
        <w:rPr>
          <w:rFonts w:hint="eastAsia" w:ascii="宋体" w:hAnsi="宋体" w:cs="宋体"/>
          <w:u w:val="none"/>
        </w:rPr>
        <w:t>甲方：                                      乙方：</w:t>
      </w:r>
    </w:p>
    <w:p>
      <w:pPr>
        <w:pStyle w:val="2"/>
        <w:ind w:firstLine="452"/>
        <w:rPr>
          <w:rFonts w:hint="eastAsia" w:ascii="宋体" w:hAnsi="宋体" w:cs="宋体"/>
          <w:u w:val="none"/>
        </w:rPr>
      </w:pPr>
      <w:r>
        <w:rPr>
          <w:rFonts w:hint="eastAsia" w:ascii="宋体" w:hAnsi="宋体" w:cs="宋体"/>
          <w:u w:val="none"/>
        </w:rPr>
        <w:t>代表：                                       代表：</w:t>
      </w:r>
    </w:p>
    <w:p>
      <w:pPr>
        <w:pStyle w:val="2"/>
        <w:ind w:firstLine="452"/>
        <w:rPr>
          <w:rFonts w:hint="eastAsia" w:ascii="宋体" w:hAnsi="宋体" w:cs="宋体"/>
          <w:u w:val="none"/>
        </w:rPr>
      </w:pPr>
      <w:r>
        <w:rPr>
          <w:rFonts w:hint="eastAsia" w:ascii="宋体" w:hAnsi="宋体" w:cs="宋体"/>
          <w:u w:val="none"/>
        </w:rPr>
        <w:t>签约日期：                                签约日期：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6AEEFD"/>
    <w:multiLevelType w:val="singleLevel"/>
    <w:tmpl w:val="BA6AEEF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345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pacing w:val="8"/>
      <w:kern w:val="2"/>
      <w:sz w:val="21"/>
      <w:szCs w:val="21"/>
      <w:u w:val="single"/>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99"/>
    <w:pPr>
      <w:ind w:firstLine="420" w:firstLineChars="20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2020-07-28T08:09:39Z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