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firstLine="2650" w:firstLineChars="600"/>
        <w:jc w:val="left"/>
        <w:rPr>
          <w:rFonts w:ascii="宋体" w:hAnsi="宋体" w:eastAsia="宋体" w:cs="宋体"/>
          <w:b/>
          <w:bCs/>
          <w:color w:val="0C0C0C" w:themeColor="text1" w:themeTint="F2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0C0C0C" w:themeColor="text1" w:themeTint="F2"/>
          <w:sz w:val="44"/>
          <w:szCs w:val="44"/>
        </w:rPr>
        <w:drawing>
          <wp:anchor distT="0" distB="0" distL="114300" distR="114300" simplePos="0" relativeHeight="20480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-1085850</wp:posOffset>
            </wp:positionV>
            <wp:extent cx="7564755" cy="10700385"/>
            <wp:effectExtent l="0" t="0" r="0" b="0"/>
            <wp:wrapThrough wrapText="bothSides">
              <wp:wrapPolygon>
                <wp:start x="0" y="0"/>
                <wp:lineTo x="0" y="21573"/>
                <wp:lineTo x="21540" y="21573"/>
                <wp:lineTo x="21540" y="0"/>
                <wp:lineTo x="0" y="0"/>
              </wp:wrapPolygon>
            </wp:wrapThrough>
            <wp:docPr id="11" name="图片 1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封面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firstLine="2650" w:firstLineChars="600"/>
        <w:jc w:val="left"/>
        <w:rPr>
          <w:rFonts w:ascii="宋体" w:hAnsi="宋体" w:eastAsia="宋体" w:cs="宋体"/>
          <w:b/>
          <w:bCs/>
          <w:color w:val="0C0C0C" w:themeColor="text1" w:themeTint="F2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0C0C0C" w:themeColor="text1" w:themeTint="F2"/>
          <w:sz w:val="44"/>
          <w:szCs w:val="44"/>
        </w:rPr>
        <w:drawing>
          <wp:anchor distT="0" distB="0" distL="114300" distR="114300" simplePos="0" relativeHeight="19456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-1038225</wp:posOffset>
            </wp:positionV>
            <wp:extent cx="7564755" cy="10700385"/>
            <wp:effectExtent l="0" t="0" r="0" b="0"/>
            <wp:wrapThrough wrapText="bothSides">
              <wp:wrapPolygon>
                <wp:start x="0" y="0"/>
                <wp:lineTo x="0" y="21573"/>
                <wp:lineTo x="21540" y="21573"/>
                <wp:lineTo x="21540" y="0"/>
                <wp:lineTo x="0" y="0"/>
              </wp:wrapPolygon>
            </wp:wrapThrough>
            <wp:docPr id="4" name="图片 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firstLine="2650" w:firstLineChars="600"/>
        <w:jc w:val="left"/>
        <w:rPr>
          <w:rFonts w:ascii="宋体" w:hAnsi="宋体" w:eastAsia="宋体" w:cs="宋体"/>
          <w:b/>
          <w:bCs/>
          <w:color w:val="0C0C0C" w:themeColor="text1" w:themeTint="F2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0C0C0C" w:themeColor="text1" w:themeTint="F2"/>
          <w:sz w:val="44"/>
          <w:szCs w:val="44"/>
        </w:rPr>
        <w:drawing>
          <wp:anchor distT="0" distB="0" distL="114300" distR="114300" simplePos="0" relativeHeight="21504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-1028700</wp:posOffset>
            </wp:positionV>
            <wp:extent cx="7574280" cy="10713720"/>
            <wp:effectExtent l="0" t="0" r="0" b="0"/>
            <wp:wrapThrough wrapText="bothSides">
              <wp:wrapPolygon>
                <wp:start x="0" y="0"/>
                <wp:lineTo x="0" y="21546"/>
                <wp:lineTo x="21567" y="21546"/>
                <wp:lineTo x="21567" y="0"/>
                <wp:lineTo x="0" y="0"/>
              </wp:wrapPolygon>
            </wp:wrapThrough>
            <wp:docPr id="18" name="图片 18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firstLine="2650" w:firstLineChars="600"/>
        <w:jc w:val="left"/>
        <w:rPr>
          <w:rFonts w:ascii="宋体" w:hAnsi="宋体" w:eastAsia="宋体" w:cs="宋体"/>
          <w:b/>
          <w:bCs/>
          <w:color w:val="0C0C0C" w:themeColor="text1" w:themeTint="F2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0C0C0C" w:themeColor="text1" w:themeTint="F2"/>
          <w:sz w:val="44"/>
          <w:szCs w:val="44"/>
        </w:rPr>
        <w:drawing>
          <wp:anchor distT="0" distB="0" distL="114300" distR="114300" simplePos="0" relativeHeight="22528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-1038225</wp:posOffset>
            </wp:positionV>
            <wp:extent cx="7545705" cy="10673080"/>
            <wp:effectExtent l="0" t="0" r="0" b="0"/>
            <wp:wrapThrough wrapText="bothSides">
              <wp:wrapPolygon>
                <wp:start x="0" y="0"/>
                <wp:lineTo x="0" y="21551"/>
                <wp:lineTo x="21540" y="21551"/>
                <wp:lineTo x="21540" y="0"/>
                <wp:lineTo x="0" y="0"/>
              </wp:wrapPolygon>
            </wp:wrapThrough>
            <wp:docPr id="21" name="图片 2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firstLine="2650" w:firstLineChars="600"/>
        <w:jc w:val="left"/>
        <w:rPr>
          <w:rFonts w:ascii="宋体" w:hAnsi="宋体" w:eastAsia="宋体" w:cs="宋体"/>
          <w:b/>
          <w:bCs/>
          <w:color w:val="0C0C0C" w:themeColor="text1" w:themeTint="F2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0C0C0C" w:themeColor="text1" w:themeTint="F2"/>
          <w:sz w:val="44"/>
          <w:szCs w:val="44"/>
        </w:rPr>
        <w:drawing>
          <wp:anchor distT="0" distB="0" distL="114300" distR="114300" simplePos="0" relativeHeight="23552" behindDoc="1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-1038225</wp:posOffset>
            </wp:positionV>
            <wp:extent cx="7574280" cy="10713720"/>
            <wp:effectExtent l="0" t="0" r="0" b="0"/>
            <wp:wrapThrough wrapText="bothSides">
              <wp:wrapPolygon>
                <wp:start x="0" y="0"/>
                <wp:lineTo x="0" y="21546"/>
                <wp:lineTo x="21567" y="21546"/>
                <wp:lineTo x="21567" y="0"/>
                <wp:lineTo x="0" y="0"/>
              </wp:wrapPolygon>
            </wp:wrapThrough>
            <wp:docPr id="22" name="图片 22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firstLine="3092" w:firstLineChars="700"/>
        <w:jc w:val="left"/>
        <w:rPr>
          <w:rFonts w:ascii="宋体" w:hAnsi="宋体" w:eastAsia="宋体" w:cs="宋体"/>
          <w:b/>
          <w:bCs/>
          <w:color w:val="843C0B" w:themeColor="accent2" w:themeShade="8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843C0B" w:themeColor="accent2" w:themeShade="80"/>
          <w:sz w:val="44"/>
          <w:szCs w:val="44"/>
        </w:rPr>
        <w:t>恋尚土耳其·深度12天3飞</w:t>
      </w:r>
    </w:p>
    <w:tbl>
      <w:tblPr>
        <w:tblStyle w:val="7"/>
        <w:tblpPr w:leftFromText="180" w:rightFromText="180" w:vertAnchor="text" w:horzAnchor="page" w:tblpX="898" w:tblpY="190"/>
        <w:tblOverlap w:val="never"/>
        <w:tblW w:w="10282" w:type="dxa"/>
        <w:tblInd w:w="0" w:type="dxa"/>
        <w:tblBorders>
          <w:top w:val="single" w:color="CBA93F" w:sz="4" w:space="0"/>
          <w:left w:val="single" w:color="CBA93F" w:sz="4" w:space="0"/>
          <w:bottom w:val="single" w:color="CBA93F" w:sz="4" w:space="0"/>
          <w:right w:val="single" w:color="CBA93F" w:sz="4" w:space="0"/>
          <w:insideH w:val="single" w:color="CBA93F" w:sz="4" w:space="0"/>
          <w:insideV w:val="single" w:color="CBA93F" w:sz="4" w:space="0"/>
        </w:tblBorders>
        <w:shd w:val="clear" w:color="auto" w:fill="FFFFCC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2"/>
        <w:gridCol w:w="8360"/>
      </w:tblGrid>
      <w:tr>
        <w:tblPrEx>
          <w:tblBorders>
            <w:top w:val="single" w:color="CBA93F" w:sz="4" w:space="0"/>
            <w:left w:val="single" w:color="CBA93F" w:sz="4" w:space="0"/>
            <w:bottom w:val="single" w:color="CBA93F" w:sz="4" w:space="0"/>
            <w:right w:val="single" w:color="CBA93F" w:sz="4" w:space="0"/>
            <w:insideH w:val="single" w:color="CBA93F" w:sz="4" w:space="0"/>
            <w:insideV w:val="single" w:color="CBA93F" w:sz="4" w:space="0"/>
          </w:tblBorders>
          <w:shd w:val="clear" w:color="auto" w:fill="FFFF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3" w:hRule="atLeast"/>
        </w:trPr>
        <w:tc>
          <w:tcPr>
            <w:tcW w:w="1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line="410" w:lineRule="exact"/>
              <w:jc w:val="center"/>
              <w:rPr>
                <w:rFonts w:ascii="微软雅黑" w:hAnsi="微软雅黑" w:eastAsia="微软雅黑" w:cs="微软雅黑"/>
                <w:b/>
                <w:color w:val="0C0C0C" w:themeColor="text1" w:themeTint="F2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C0C0C" w:themeColor="text1" w:themeTint="F2"/>
                <w:sz w:val="20"/>
                <w:szCs w:val="20"/>
              </w:rPr>
              <w:t>优质航班</w:t>
            </w:r>
          </w:p>
        </w:tc>
        <w:tc>
          <w:tcPr>
            <w:tcW w:w="836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line="360" w:lineRule="exact"/>
              <w:rPr>
                <w:rFonts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  <w:t>选用航空：阿曼航空(Oman Air, WY),享受优质空乘服务</w:t>
            </w:r>
            <w:r>
              <w:rPr>
                <w:rFonts w:hint="eastAsia"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  <w:t>特别安排一段内陆航空，减少13小时舟车劳顿（伊兹密尔-伊斯坦布尔）</w:t>
            </w:r>
          </w:p>
        </w:tc>
      </w:tr>
      <w:tr>
        <w:tblPrEx>
          <w:tblBorders>
            <w:top w:val="single" w:color="CBA93F" w:sz="4" w:space="0"/>
            <w:left w:val="single" w:color="CBA93F" w:sz="4" w:space="0"/>
            <w:bottom w:val="single" w:color="CBA93F" w:sz="4" w:space="0"/>
            <w:right w:val="single" w:color="CBA93F" w:sz="4" w:space="0"/>
            <w:insideH w:val="single" w:color="CBA93F" w:sz="4" w:space="0"/>
            <w:insideV w:val="single" w:color="CBA9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74" w:hRule="atLeast"/>
        </w:trPr>
        <w:tc>
          <w:tcPr>
            <w:tcW w:w="1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line="410" w:lineRule="exact"/>
              <w:jc w:val="center"/>
              <w:rPr>
                <w:rFonts w:ascii="微软雅黑" w:hAnsi="微软雅黑" w:eastAsia="微软雅黑" w:cs="微软雅黑"/>
                <w:b/>
                <w:color w:val="0C0C0C" w:themeColor="text1" w:themeTint="F2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C0C0C" w:themeColor="text1" w:themeTint="F2"/>
                <w:sz w:val="20"/>
                <w:szCs w:val="20"/>
              </w:rPr>
              <w:t>经典行程</w:t>
            </w:r>
          </w:p>
        </w:tc>
        <w:tc>
          <w:tcPr>
            <w:tcW w:w="836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line="360" w:lineRule="exact"/>
              <w:ind w:left="1200" w:hanging="1201" w:hangingChars="600"/>
              <w:rPr>
                <w:rFonts w:ascii="微软雅黑" w:hAnsi="微软雅黑" w:eastAsia="微软雅黑" w:cs="微软雅黑"/>
                <w:color w:val="0C0C0C" w:themeColor="text1" w:themeTint="F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C0C0C" w:themeColor="text1" w:themeTint="F2"/>
                <w:sz w:val="20"/>
                <w:szCs w:val="20"/>
              </w:rPr>
              <w:t>伊斯坦布尔：</w:t>
            </w:r>
            <w:r>
              <w:rPr>
                <w:rFonts w:hint="eastAsia"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  <w:t>游览【蓝色清真寺】【苏丹阿合麦特广场】</w:t>
            </w:r>
            <w:r>
              <w:rPr>
                <w:rFonts w:hint="eastAsia"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  <w:t>外观</w:t>
            </w:r>
            <w:r>
              <w:rPr>
                <w:rFonts w:hint="eastAsia" w:ascii="微软雅黑" w:hAnsi="微软雅黑" w:eastAsia="微软雅黑" w:cs="微软雅黑"/>
                <w:color w:val="0C0C0C" w:themeColor="text1" w:themeTint="F2"/>
              </w:rPr>
              <w:t>【</w:t>
            </w:r>
            <w:r>
              <w:rPr>
                <w:rFonts w:hint="eastAsia" w:ascii="微软雅黑" w:hAnsi="微软雅黑" w:eastAsia="微软雅黑" w:cs="微软雅黑"/>
                <w:color w:val="0C0C0C" w:themeColor="text1" w:themeTint="F2"/>
                <w:szCs w:val="21"/>
              </w:rPr>
              <w:t>圣索菲亚大教堂</w:t>
            </w:r>
            <w:r>
              <w:rPr>
                <w:rFonts w:hint="eastAsia" w:ascii="微软雅黑" w:hAnsi="微软雅黑" w:eastAsia="微软雅黑" w:cs="微软雅黑"/>
                <w:color w:val="0C0C0C" w:themeColor="text1" w:themeTint="F2"/>
              </w:rPr>
              <w:t>】【</w:t>
            </w:r>
            <w:r>
              <w:rPr>
                <w:rFonts w:hint="eastAsia" w:ascii="微软雅黑" w:hAnsi="微软雅黑" w:eastAsia="微软雅黑" w:cs="微软雅黑"/>
                <w:color w:val="0C0C0C" w:themeColor="text1" w:themeTint="F2"/>
                <w:szCs w:val="21"/>
              </w:rPr>
              <w:t>托普卡普老皇宫</w:t>
            </w:r>
            <w:r>
              <w:rPr>
                <w:rFonts w:hint="eastAsia" w:ascii="微软雅黑" w:hAnsi="微软雅黑" w:eastAsia="微软雅黑" w:cs="微软雅黑"/>
                <w:color w:val="0C0C0C" w:themeColor="text1" w:themeTint="F2"/>
              </w:rPr>
              <w:t>】</w:t>
            </w:r>
          </w:p>
          <w:p>
            <w:pPr>
              <w:spacing w:line="360" w:lineRule="exact"/>
              <w:rPr>
                <w:rFonts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C0C0C" w:themeColor="text1" w:themeTint="F2"/>
                <w:sz w:val="20"/>
                <w:szCs w:val="20"/>
              </w:rPr>
              <w:t>番红花城：</w:t>
            </w:r>
            <w:r>
              <w:rPr>
                <w:rFonts w:hint="eastAsia"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  <w:t>【鄂图曼市长官邸】【希德尔立克山丘】【图兹盐湖】</w:t>
            </w:r>
          </w:p>
          <w:p>
            <w:pPr>
              <w:spacing w:line="360" w:lineRule="exact"/>
              <w:rPr>
                <w:rFonts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C0C0C" w:themeColor="text1" w:themeTint="F2"/>
                <w:sz w:val="20"/>
                <w:szCs w:val="20"/>
              </w:rPr>
              <w:t>卡帕多奇亚：</w:t>
            </w:r>
            <w:r>
              <w:rPr>
                <w:rFonts w:hint="eastAsia"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  <w:t>【格雷梅露天博物馆】【精灵烟囱】【鸽子谷】</w:t>
            </w:r>
          </w:p>
          <w:p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0C0C0C" w:themeColor="text1" w:themeTint="F2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C0C0C" w:themeColor="text1" w:themeTint="F2"/>
                <w:sz w:val="20"/>
                <w:szCs w:val="20"/>
              </w:rPr>
              <w:t>孔亚：</w:t>
            </w:r>
            <w:r>
              <w:rPr>
                <w:rFonts w:hint="eastAsia"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  <w:t>【梅夫拉那博物馆】</w:t>
            </w:r>
          </w:p>
          <w:p>
            <w:pPr>
              <w:spacing w:line="360" w:lineRule="exact"/>
              <w:rPr>
                <w:rFonts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C0C0C" w:themeColor="text1" w:themeTint="F2"/>
                <w:sz w:val="20"/>
                <w:szCs w:val="20"/>
              </w:rPr>
              <w:t>安塔利亚：</w:t>
            </w:r>
            <w:r>
              <w:rPr>
                <w:rFonts w:hint="eastAsia"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  <w:t>【考古博物馆】【卡勒伊奇】</w:t>
            </w:r>
          </w:p>
          <w:p>
            <w:pPr>
              <w:spacing w:line="360" w:lineRule="exact"/>
              <w:rPr>
                <w:rFonts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C0C0C" w:themeColor="text1" w:themeTint="F2"/>
                <w:sz w:val="20"/>
                <w:szCs w:val="20"/>
              </w:rPr>
              <w:t>棉花堡：</w:t>
            </w:r>
            <w:r>
              <w:rPr>
                <w:rFonts w:hint="eastAsia"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  <w:t>【棉花堡】【希拉波利斯古城遗址】</w:t>
            </w:r>
          </w:p>
          <w:p>
            <w:pPr>
              <w:spacing w:line="360" w:lineRule="exact"/>
              <w:rPr>
                <w:rFonts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C0C0C" w:themeColor="text1" w:themeTint="F2"/>
                <w:sz w:val="20"/>
                <w:szCs w:val="20"/>
              </w:rPr>
              <w:t>费特希耶：</w:t>
            </w:r>
            <w:r>
              <w:rPr>
                <w:rFonts w:hint="eastAsia"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  <w:t>【桑索斯】</w:t>
            </w:r>
          </w:p>
          <w:p>
            <w:pPr>
              <w:spacing w:line="360" w:lineRule="exact"/>
              <w:rPr>
                <w:rFonts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C0C0C" w:themeColor="text1" w:themeTint="F2"/>
                <w:sz w:val="20"/>
                <w:szCs w:val="20"/>
              </w:rPr>
              <w:t>库萨达斯：</w:t>
            </w:r>
            <w:r>
              <w:rPr>
                <w:rFonts w:hint="eastAsia"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  <w:t>【以弗所古城】</w:t>
            </w:r>
          </w:p>
        </w:tc>
      </w:tr>
      <w:tr>
        <w:tblPrEx>
          <w:tblBorders>
            <w:top w:val="single" w:color="CBA93F" w:sz="4" w:space="0"/>
            <w:left w:val="single" w:color="CBA93F" w:sz="4" w:space="0"/>
            <w:bottom w:val="single" w:color="CBA93F" w:sz="4" w:space="0"/>
            <w:right w:val="single" w:color="CBA93F" w:sz="4" w:space="0"/>
            <w:insideH w:val="single" w:color="CBA93F" w:sz="4" w:space="0"/>
            <w:insideV w:val="single" w:color="CBA9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3" w:hRule="atLeast"/>
        </w:trPr>
        <w:tc>
          <w:tcPr>
            <w:tcW w:w="1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line="410" w:lineRule="exact"/>
              <w:jc w:val="center"/>
              <w:rPr>
                <w:rFonts w:ascii="微软雅黑" w:hAnsi="微软雅黑" w:eastAsia="微软雅黑" w:cs="微软雅黑"/>
                <w:b/>
                <w:color w:val="0C0C0C" w:themeColor="text1" w:themeTint="F2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C0C0C" w:themeColor="text1" w:themeTint="F2"/>
                <w:sz w:val="20"/>
                <w:szCs w:val="20"/>
              </w:rPr>
              <w:t>精选酒店</w:t>
            </w:r>
          </w:p>
        </w:tc>
        <w:tc>
          <w:tcPr>
            <w:tcW w:w="836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line="360" w:lineRule="exact"/>
              <w:rPr>
                <w:rFonts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C0C0C" w:themeColor="text1" w:themeTint="F2"/>
                <w:sz w:val="20"/>
                <w:szCs w:val="20"/>
              </w:rPr>
              <w:t>爱琴海库萨达斯五星酒店+棉花堡五星酒店+安塔利亚地中海海边五星酒店</w:t>
            </w:r>
          </w:p>
        </w:tc>
      </w:tr>
      <w:tr>
        <w:tblPrEx>
          <w:tblBorders>
            <w:top w:val="single" w:color="CBA93F" w:sz="4" w:space="0"/>
            <w:left w:val="single" w:color="CBA93F" w:sz="4" w:space="0"/>
            <w:bottom w:val="single" w:color="CBA93F" w:sz="4" w:space="0"/>
            <w:right w:val="single" w:color="CBA93F" w:sz="4" w:space="0"/>
            <w:insideH w:val="single" w:color="CBA93F" w:sz="4" w:space="0"/>
            <w:insideV w:val="single" w:color="CBA9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3" w:hRule="atLeast"/>
        </w:trPr>
        <w:tc>
          <w:tcPr>
            <w:tcW w:w="1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line="410" w:lineRule="exact"/>
              <w:jc w:val="center"/>
              <w:rPr>
                <w:rFonts w:ascii="微软雅黑" w:hAnsi="微软雅黑" w:eastAsia="微软雅黑" w:cs="微软雅黑"/>
                <w:b/>
                <w:color w:val="0C0C0C" w:themeColor="text1" w:themeTint="F2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C0C0C" w:themeColor="text1" w:themeTint="F2"/>
                <w:sz w:val="20"/>
                <w:szCs w:val="20"/>
              </w:rPr>
              <w:t>特色美食</w:t>
            </w:r>
          </w:p>
        </w:tc>
        <w:tc>
          <w:tcPr>
            <w:tcW w:w="836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6D5527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843C0B" w:themeColor="accent2" w:themeShade="80"/>
                <w:sz w:val="20"/>
                <w:szCs w:val="20"/>
              </w:rPr>
              <w:t>卡帕多奇亚瓦罐焖肉餐/土耳其特色烤鸡餐/安塔利亚烤鱼餐</w:t>
            </w:r>
          </w:p>
        </w:tc>
      </w:tr>
    </w:tbl>
    <w:p>
      <w:pPr>
        <w:spacing w:line="360" w:lineRule="auto"/>
        <w:rPr>
          <w:rFonts w:ascii="微软雅黑" w:hAnsi="微软雅黑" w:eastAsia="微软雅黑" w:cs="微软雅黑"/>
          <w:b/>
          <w:bCs/>
          <w:color w:val="5D471C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color w:val="843C0B" w:themeColor="accent2" w:themeShade="8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843C0B" w:themeColor="accent2" w:themeShade="80"/>
          <w:sz w:val="28"/>
          <w:szCs w:val="28"/>
        </w:rPr>
        <w:t>第一天 广州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sym w:font="Wingdings" w:char="F0D8"/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 xml:space="preserve">伊斯坦布尔   </w:t>
      </w:r>
    </w:p>
    <w:p>
      <w:pPr>
        <w:spacing w:line="360" w:lineRule="exact"/>
        <w:jc w:val="left"/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</w:rPr>
        <w:t>参考航班：WY852 CANMCT 0910/1310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  <w:lang w:val="en-US" w:eastAsia="zh-CN"/>
        </w:rPr>
        <w:t>6月-10月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</w:rPr>
        <w:t>转 WY165 MCTIST  1445/1900</w:t>
      </w:r>
    </w:p>
    <w:p>
      <w:pPr>
        <w:spacing w:line="360" w:lineRule="exact"/>
        <w:jc w:val="left"/>
        <w:rPr>
          <w:rFonts w:hint="default" w:ascii="微软雅黑" w:hAnsi="微软雅黑" w:eastAsia="微软雅黑" w:cs="微软雅黑"/>
          <w:b/>
          <w:color w:val="843C0B" w:themeColor="accent2" w:themeShade="8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</w:rPr>
        <w:t xml:space="preserve">WY852 CANMCT 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  <w:lang w:val="en-US" w:eastAsia="zh-CN"/>
        </w:rPr>
        <w:t>0625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</w:rPr>
        <w:t>/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  <w:lang w:val="en-US" w:eastAsia="zh-CN"/>
        </w:rPr>
        <w:t>1125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  <w:lang w:val="en-US" w:eastAsia="zh-CN"/>
        </w:rPr>
        <w:t>11月-5月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</w:rPr>
        <w:t>转 WY165 MCTIST  14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  <w:lang w:val="en-US" w:eastAsia="zh-CN"/>
        </w:rPr>
        <w:t>30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</w:rPr>
        <w:t>/1900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早上指定时间在广州白云国际机场集合，办理登机及行李托运手续，后乘阿曼航空航空公司班机经马斯喀特转机飞往伊斯坦布尔 ，抵达后导游接机，后送往酒店休息。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0C0C0C" w:themeColor="text1" w:themeTint="F2"/>
        </w:rPr>
        <w:t>参考酒店：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 伊斯坦布尔五星酒店                                     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早餐：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×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午餐：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×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晚餐：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×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color w:val="843C0B" w:themeColor="accent2" w:themeShade="80"/>
          <w:szCs w:val="21"/>
        </w:rPr>
      </w:pP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第二天 伊斯坦布尔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drawing>
          <wp:anchor distT="0" distB="0" distL="114300" distR="114300" simplePos="0" relativeHeight="8192" behindDoc="1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57785</wp:posOffset>
            </wp:positionV>
            <wp:extent cx="3627120" cy="2508250"/>
            <wp:effectExtent l="0" t="0" r="11430" b="6350"/>
            <wp:wrapThrough wrapText="bothSides">
              <wp:wrapPolygon>
                <wp:start x="0" y="0"/>
                <wp:lineTo x="0" y="21491"/>
                <wp:lineTo x="21441" y="21491"/>
                <wp:lineTo x="21441" y="0"/>
                <wp:lineTo x="0" y="0"/>
              </wp:wrapPolygon>
            </wp:wrapThrough>
            <wp:docPr id="10" name="图片 10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3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早餐后，前往参观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【</w:t>
      </w:r>
      <w:bookmarkStart w:id="0" w:name="OLE_LINK10"/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蓝色清真寺</w:t>
      </w:r>
      <w:bookmarkEnd w:id="0"/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】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（约30分钟）奥斯曼经典建筑，清真寺内壁全部密密地贴着两万多块美丽的伊兹尼蓝色瓷砖，蓝色清真寺由此得名。透过正中央圆顶的两百六十扇窗户的阳光照射，金蓝交灿，美得令人屏息。寺外有一个大花园，可看到伊斯坦布尔最美丽的景色。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前往【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老皇宫-托普卡帕宫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】（入内参观约1小时）托普卡帕宫</w:t>
      </w:r>
      <w:r>
        <w:rPr>
          <w:rFonts w:asciiTheme="minorEastAsia" w:hAnsiTheme="minorEastAsia" w:cstheme="minorEastAsia"/>
          <w:color w:val="0C0C0C" w:themeColor="text1" w:themeTint="F2"/>
          <w:szCs w:val="21"/>
        </w:rPr>
        <w:t>是位处土耳其伊斯坦布尔的一座皇宫，自1465年至1853年一直都是</w:t>
      </w:r>
      <w:r>
        <w:rPr>
          <w:rFonts w:asciiTheme="minorEastAsia" w:hAnsiTheme="minorEastAsia" w:cstheme="minorEastAsia"/>
          <w:color w:val="0C0C0C" w:themeColor="text1" w:themeTint="F2"/>
          <w:szCs w:val="21"/>
        </w:rPr>
        <w:fldChar w:fldCharType="begin"/>
      </w:r>
      <w:r>
        <w:rPr>
          <w:rFonts w:asciiTheme="minorEastAsia" w:hAnsiTheme="minorEastAsia" w:cstheme="minorEastAsia"/>
          <w:color w:val="0C0C0C" w:themeColor="text1" w:themeTint="F2"/>
          <w:szCs w:val="21"/>
        </w:rPr>
        <w:instrText xml:space="preserve"> HYPERLINK "https://baike.so.com/doc/4304659-4508513.html" \t "https://baike.so.com/doc/_blank" </w:instrText>
      </w:r>
      <w:r>
        <w:rPr>
          <w:rFonts w:asciiTheme="minorEastAsia" w:hAnsiTheme="minorEastAsia" w:cstheme="minorEastAsia"/>
          <w:color w:val="0C0C0C" w:themeColor="text1" w:themeTint="F2"/>
          <w:szCs w:val="21"/>
        </w:rPr>
        <w:fldChar w:fldCharType="separate"/>
      </w:r>
      <w:r>
        <w:rPr>
          <w:rFonts w:asciiTheme="minorEastAsia" w:hAnsiTheme="minorEastAsia" w:cstheme="minorEastAsia"/>
          <w:color w:val="0C0C0C" w:themeColor="text1" w:themeTint="F2"/>
          <w:szCs w:val="21"/>
        </w:rPr>
        <w:t>奥斯曼帝国</w:t>
      </w:r>
      <w:r>
        <w:rPr>
          <w:rFonts w:asciiTheme="minorEastAsia" w:hAnsiTheme="minorEastAsia" w:cstheme="minorEastAsia"/>
          <w:color w:val="0C0C0C" w:themeColor="text1" w:themeTint="F2"/>
          <w:szCs w:val="21"/>
        </w:rPr>
        <w:fldChar w:fldCharType="end"/>
      </w:r>
      <w:r>
        <w:rPr>
          <w:rFonts w:asciiTheme="minorEastAsia" w:hAnsiTheme="minorEastAsia" w:cstheme="minorEastAsia"/>
          <w:color w:val="0C0C0C" w:themeColor="text1" w:themeTint="F2"/>
          <w:szCs w:val="21"/>
        </w:rPr>
        <w:t>苏丹在城内的官邸及主要居所。托普卡帕宫是昔日举行国家仪式及皇室娱乐的场所，现今则是当地主要的观光胜地。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随后参观【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圣索菲亚大教堂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】（外观）。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午餐后，后参观【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古罗马竞技场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】，（约30分钟）现在被称为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苏丹阿合麦特（SultanAhmet）广场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。在该广场有三个纪念碑：塞奥道西斯的奥拜里斯克方尖碑、青铜制的蛇柱及君士坦丁奥拜里斯克方尖碑。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br w:type="textWrapping"/>
      </w:r>
      <w:bookmarkStart w:id="1" w:name="_GoBack"/>
      <w:bookmarkEnd w:id="1"/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后驱车前往世界遗产-位于费内及巴拉特的【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彩虹街区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】（约 1小时），漫步穿梭在奥斯曼帝国风格的五颜六色彩色房屋中，探访君士坦丁堡东正教圣乔治大教堂，美丽场景犹如置身在电影中，尽享悠闲假期；晚餐后送回酒店休息。</w:t>
      </w:r>
    </w:p>
    <w:p>
      <w:pPr>
        <w:spacing w:line="360" w:lineRule="exact"/>
        <w:rPr>
          <w:rFonts w:asciiTheme="minorEastAsia" w:hAnsiTheme="minorEastAsia" w:cstheme="minorEastAsia"/>
          <w:b/>
          <w:bCs/>
          <w:color w:val="0C0C0C" w:themeColor="text1" w:themeTint="F2"/>
        </w:rPr>
      </w:pP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0C0C0C" w:themeColor="text1" w:themeTint="F2"/>
        </w:rPr>
        <w:t>参考酒店：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 伊斯坦布尔五星酒店               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早餐：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酒店早餐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午餐：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土耳其特色餐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晚餐：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土耳其餐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color w:val="843C0B" w:themeColor="accent2" w:themeShade="80"/>
          <w:szCs w:val="21"/>
        </w:rPr>
      </w:pP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第三天 伊斯坦布尔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sym w:font="Wingdings" w:char="F0D8"/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番红花城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早餐后，驱车前往被列入联合国教科文组织的</w:t>
      </w:r>
      <w:r>
        <w:fldChar w:fldCharType="begin"/>
      </w:r>
      <w:r>
        <w:instrText xml:space="preserve"> HYPERLINK "https://baike.so.com/doc/5468147-5706059.html" \t "https://baike.so.com/doc/_blank" </w:instrText>
      </w:r>
      <w:r>
        <w:fldChar w:fldCharType="separate"/>
      </w:r>
      <w:r>
        <w:rPr>
          <w:rFonts w:asciiTheme="minorEastAsia" w:hAnsiTheme="minorEastAsia" w:cstheme="minorEastAsia"/>
          <w:color w:val="0C0C0C" w:themeColor="text1" w:themeTint="F2"/>
          <w:szCs w:val="21"/>
        </w:rPr>
        <w:t>世界遗产名录</w:t>
      </w:r>
      <w:r>
        <w:rPr>
          <w:rFonts w:asciiTheme="minorEastAsia" w:hAnsiTheme="minorEastAsia" w:cstheme="minorEastAsia"/>
          <w:color w:val="0C0C0C" w:themeColor="text1" w:themeTint="F2"/>
          <w:szCs w:val="21"/>
        </w:rPr>
        <w:fldChar w:fldCharType="end"/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-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番红花城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（车程约6小时），番红花城(Safranbolu)是位于土耳其安纳托利亚中部的城镇，离首都安卡拉约两百公里。老城区的鄂图曼时期的房屋和建筑都被完整的保留下来，包括私人博物馆、清真寺、墓园、历史喷泉、土耳其浴、钟塔、日晷以及数以百计的房屋，整修后在1994年被列入联合国教科文组织的世界遗产名录。番红花城占地面积约1000平方公里，海拔485米。 城镇名称源自于番红花以及希腊文polis(城邦)。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午餐后，参观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【鄂图曼市长官邸】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（外观约  20分钟）随后前往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【希德尔立克山丘】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（30分钟），蕃红花城在17世纪时是蕃红花贸易以及种植中心，至今蕃红花仍在城以东的村落种植。蕃红花也是全世界最贵的香料，大家一定要喝杯当地特产蕃红花茶。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0C0C0C" w:themeColor="text1" w:themeTint="F2"/>
        </w:rPr>
        <w:t>参考酒店：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 番红花城特色民宿           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早餐：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酒店早餐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午餐：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土耳其特色烤鸡餐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晚餐：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酒店晚餐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color w:val="843C0B" w:themeColor="accent2" w:themeShade="80"/>
          <w:szCs w:val="21"/>
        </w:rPr>
      </w:pP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第四天 番红花城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sym w:font="Wingdings" w:char="F0D8"/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卡帕多奇亚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="微软雅黑" w:hAnsi="微软雅黑" w:eastAsia="微软雅黑" w:cs="微软雅黑"/>
          <w:b/>
          <w:color w:val="843C0B" w:themeColor="accent2" w:themeShade="80"/>
          <w:szCs w:val="21"/>
        </w:rPr>
        <w:drawing>
          <wp:anchor distT="0" distB="0" distL="114300" distR="114300" simplePos="0" relativeHeight="10240" behindDoc="1" locked="0" layoutInCell="1" allowOverlap="1">
            <wp:simplePos x="0" y="0"/>
            <wp:positionH relativeFrom="column">
              <wp:posOffset>2120900</wp:posOffset>
            </wp:positionH>
            <wp:positionV relativeFrom="paragraph">
              <wp:posOffset>109220</wp:posOffset>
            </wp:positionV>
            <wp:extent cx="4572635" cy="2183130"/>
            <wp:effectExtent l="0" t="0" r="18415" b="7620"/>
            <wp:wrapThrough wrapText="bothSides">
              <wp:wrapPolygon>
                <wp:start x="0" y="0"/>
                <wp:lineTo x="0" y="21487"/>
                <wp:lineTo x="21507" y="21487"/>
                <wp:lineTo x="21507" y="0"/>
                <wp:lineTo x="0" y="0"/>
              </wp:wrapPolygon>
            </wp:wrapThrough>
            <wp:docPr id="12" name="图片 12" descr="9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88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151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早餐后，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驱车前往卡帕多奇亚，途中参观【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图兹盐湖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】，土耳其天然盐湖。位于乾旱的中央高原洼地。海拔925公尺(3,035呎)。一年大部分时间湖面面积约1,500平方公里(580平方哩)，深约900公尺(2,950呎)。正常情况下长约80公里(50哩)，宽约50公里(30哩)，夏季枯水期间，露出大片盐滩，可供采盐，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0C0C0C" w:themeColor="text1" w:themeTint="F2"/>
        </w:rPr>
        <w:t>参考酒店：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 卡帕多奇亚五星酒店               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早餐：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酒店早餐 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午餐：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团队餐 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晚餐：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酒店晚餐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</w:p>
    <w:p>
      <w:pPr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b/>
          <w:color w:val="843C0B" w:themeColor="accent2" w:themeShade="8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drawing>
          <wp:anchor distT="0" distB="0" distL="114300" distR="114300" simplePos="0" relativeHeight="1126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391795</wp:posOffset>
            </wp:positionV>
            <wp:extent cx="6530340" cy="4242435"/>
            <wp:effectExtent l="0" t="0" r="3810" b="62865"/>
            <wp:wrapThrough wrapText="bothSides">
              <wp:wrapPolygon>
                <wp:start x="0" y="0"/>
                <wp:lineTo x="0" y="21532"/>
                <wp:lineTo x="21550" y="21532"/>
                <wp:lineTo x="21550" y="0"/>
                <wp:lineTo x="0" y="0"/>
              </wp:wrapPolygon>
            </wp:wrapThrough>
            <wp:docPr id="13" name="图片 13" descr="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9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卡帕多奇亚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早上可参加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  <w:lang w:eastAsia="zh-CN"/>
        </w:rPr>
        <w:t>游玩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项目:团员早起体验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【热气球之旅】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drawing>
          <wp:anchor distT="0" distB="0" distL="114300" distR="114300" simplePos="0" relativeHeight="12288" behindDoc="1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628015</wp:posOffset>
            </wp:positionV>
            <wp:extent cx="4166235" cy="2639060"/>
            <wp:effectExtent l="0" t="0" r="5715" b="46990"/>
            <wp:wrapThrough wrapText="bothSides">
              <wp:wrapPolygon>
                <wp:start x="0" y="0"/>
                <wp:lineTo x="0" y="21517"/>
                <wp:lineTo x="21531" y="21517"/>
                <wp:lineTo x="21531" y="0"/>
                <wp:lineTo x="0" y="0"/>
              </wp:wrapPolygon>
            </wp:wrapThrough>
            <wp:docPr id="14" name="图片 14" descr="56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665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b="5006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早餐后参观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【格雷梅露天博物馆】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（入内参观1小时），随后前往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【精灵烟囱】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（约30 分钟）“精灵烟囱”位于土耳其安纳托利亚高原的卡帕多西亚。实际上是一些特大号的圆锥形岩层，松软的岩石酷似锥形的尖塔，尖塔顶端被大自然赋予了一块更加松软的玄武岩“帽子”。1985年，卡帕多西亚的魔幻森林入选联合国教科文组织的世界文化、自然双遗产。来此地的人们，无不发挥各自的丰富联想，定能让人流连忘返。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午餐当地餐厅用餐土耳其特色瓦罐焖肉餐，前</w:t>
      </w:r>
      <w:r>
        <w:rPr>
          <w:rFonts w:hint="eastAsia" w:asciiTheme="minorEastAsia" w:hAnsiTheme="minorEastAsia" w:cstheme="minorEastAsia"/>
          <w:szCs w:val="21"/>
        </w:rPr>
        <w:t>往</w:t>
      </w:r>
      <w:r>
        <w:rPr>
          <w:rFonts w:hint="eastAsia" w:asciiTheme="minorEastAsia" w:hAnsiTheme="minorEastAsia" w:cstheme="minorEastAsia"/>
          <w:b/>
          <w:bCs/>
          <w:szCs w:val="21"/>
        </w:rPr>
        <w:t>地毯店</w:t>
      </w:r>
      <w:r>
        <w:rPr>
          <w:rFonts w:hint="eastAsia" w:asciiTheme="minorEastAsia" w:hAnsiTheme="minorEastAsia" w:cstheme="minorEastAsia"/>
          <w:szCs w:val="21"/>
        </w:rPr>
        <w:t>参观（约 1 小时），后前往欣赏当地著名的</w:t>
      </w:r>
      <w:r>
        <w:rPr>
          <w:rFonts w:hint="eastAsia" w:asciiTheme="minorEastAsia" w:hAnsiTheme="minorEastAsia" w:cstheme="minorEastAsia"/>
          <w:b/>
          <w:bCs/>
          <w:szCs w:val="21"/>
        </w:rPr>
        <w:t>【鸽子谷】</w:t>
      </w:r>
      <w:r>
        <w:rPr>
          <w:rFonts w:hint="eastAsia" w:asciiTheme="minorEastAsia" w:hAnsiTheme="minorEastAsia" w:cstheme="minorEastAsia"/>
          <w:szCs w:val="21"/>
        </w:rPr>
        <w:t>（约 30分钟）后前往阿瓦诺斯（Avanos）陶瓷镇，前往手</w:t>
      </w:r>
      <w:r>
        <w:rPr>
          <w:rFonts w:hint="eastAsia" w:asciiTheme="minorEastAsia" w:hAnsiTheme="minorEastAsia" w:cstheme="minorEastAsia"/>
          <w:b/>
          <w:bCs/>
          <w:szCs w:val="21"/>
        </w:rPr>
        <w:t>陶瓷馆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，欣赏陶瓷制作，并可亲手参与制作陶瓷（约 1 小时）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入住酒店后自由活动。特别安排体验土耳其冰淇淋。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0C0C0C" w:themeColor="text1" w:themeTint="F2"/>
        </w:rPr>
        <w:t>参考酒店：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 卡帕多奇亚五星酒店               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早餐：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酒店早餐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午餐：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瓦罐焖肉餐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晚餐：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酒店晚餐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color w:val="843C0B" w:themeColor="accent2" w:themeShade="80"/>
          <w:szCs w:val="21"/>
        </w:rPr>
      </w:pPr>
      <w:r>
        <w:rPr>
          <w:rFonts w:hint="eastAsia" w:asciiTheme="minorEastAsia" w:hAnsiTheme="minorEastAsia" w:cstheme="minorEastAsia"/>
          <w:color w:val="843C0B" w:themeColor="accent2" w:themeShade="80"/>
          <w:szCs w:val="21"/>
        </w:rPr>
        <w:drawing>
          <wp:anchor distT="0" distB="0" distL="114300" distR="114300" simplePos="0" relativeHeight="13312" behindDoc="1" locked="0" layoutInCell="1" allowOverlap="1">
            <wp:simplePos x="0" y="0"/>
            <wp:positionH relativeFrom="column">
              <wp:posOffset>3121025</wp:posOffset>
            </wp:positionH>
            <wp:positionV relativeFrom="paragraph">
              <wp:posOffset>14605</wp:posOffset>
            </wp:positionV>
            <wp:extent cx="3756660" cy="2818765"/>
            <wp:effectExtent l="0" t="0" r="15240" b="635"/>
            <wp:wrapThrough wrapText="bothSides">
              <wp:wrapPolygon>
                <wp:start x="0" y="0"/>
                <wp:lineTo x="0" y="21459"/>
                <wp:lineTo x="21469" y="21459"/>
                <wp:lineTo x="21469" y="0"/>
                <wp:lineTo x="0" y="0"/>
              </wp:wrapPolygon>
            </wp:wrapThrough>
            <wp:docPr id="15" name="图片 15" descr="654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5474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第六天 卡帕多奇亚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sym w:font="Wingdings" w:char="F0D8"/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孔亚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sym w:font="Wingdings" w:char="F0D8"/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安塔利亚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早餐后，驱车前往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孔亚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（车程约4小时）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。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孔亚是土耳其最古老的城市之一，12-13世纪曾为塞尔柱帝国的首都，是土耳其传统的宗教文化中心。孔亚以南45公里的恰塔霍裕克(Catalhoyuk)是公元前10,000年的新石器时代的村落,是世界上最古老的人类住居地之一。也是旋转舞的发源地。参观孔亚的【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梅夫拉那博物馆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】（约 45 分钟）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午餐后，驱车前往安塔利亚入住酒店。</w:t>
      </w:r>
    </w:p>
    <w:p>
      <w:pPr>
        <w:spacing w:line="360" w:lineRule="exact"/>
        <w:jc w:val="lef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0C0C0C" w:themeColor="text1" w:themeTint="F2"/>
        </w:rPr>
        <w:t>参考酒店：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安塔利亚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五星酒店                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早餐：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酒店早餐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午餐：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孔亚当地餐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晚餐：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酒店晚餐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color w:val="843C0B" w:themeColor="accent2" w:themeShade="80"/>
          <w:szCs w:val="21"/>
        </w:rPr>
      </w:pP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第七天 安塔利亚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sym w:font="Wingdings" w:char="F0D8"/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费特希耶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可参加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  <w:lang w:eastAsia="zh-CN"/>
        </w:rPr>
        <w:t>游玩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项目:出海体验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【安塔利亚出海】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酒店早餐后，前往安塔利亚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【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考古博物馆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】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参观（约 1 小时）（如遇博物馆闭馆，则用上迪丹瀑布）之后前往安塔利亚老城区——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【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卡勒伊奇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】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（自由休闲约 1 小时），您可漫步弯弯曲曲的窄长街道以及附近的地中海沿岸的海边公园——海湾的波光云影，衬着巍峨秀丽的山峦，使这里的景观十分壮美； 或在此悠闲地享用一杯咖啡，尽情感受地中海的魅力。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="微软雅黑" w:hAnsi="微软雅黑" w:eastAsia="微软雅黑" w:cs="微软雅黑"/>
          <w:b/>
          <w:color w:val="5D471C"/>
          <w:sz w:val="28"/>
          <w:szCs w:val="28"/>
        </w:rPr>
        <w:t xml:space="preserve">   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午餐后，驱车前往费特希耶（车程约4小时）办理入住后，自由活动。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0C0C0C" w:themeColor="text1" w:themeTint="F2"/>
        </w:rPr>
        <w:t>参考酒店：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费特希耶精品酒店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               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早餐：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酒店早餐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午餐：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烤鱼餐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晚餐：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酒店晚餐</w:t>
      </w:r>
    </w:p>
    <w:p>
      <w:pPr>
        <w:spacing w:line="360" w:lineRule="exact"/>
        <w:rPr>
          <w:rFonts w:asciiTheme="minorEastAsia" w:hAnsiTheme="minorEastAsia" w:cstheme="minorEastAsia"/>
          <w:bCs/>
          <w:color w:val="843C0B" w:themeColor="accent2" w:themeShade="80"/>
          <w:szCs w:val="21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color w:val="843C0B" w:themeColor="accent2" w:themeShade="8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第八天 费特希耶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sym w:font="Wingdings" w:char="F0D8"/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棉花堡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推荐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  <w:lang w:eastAsia="zh-CN"/>
        </w:rPr>
        <w:t>游玩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项目: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【费特希耶滑翔伞】</w:t>
      </w:r>
    </w:p>
    <w:p>
      <w:pPr>
        <w:spacing w:line="360" w:lineRule="exact"/>
        <w:ind w:firstLine="420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drawing>
          <wp:anchor distT="0" distB="0" distL="114300" distR="114300" simplePos="0" relativeHeight="14336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340360</wp:posOffset>
            </wp:positionV>
            <wp:extent cx="4522470" cy="2568575"/>
            <wp:effectExtent l="0" t="0" r="49530" b="41275"/>
            <wp:wrapThrough wrapText="bothSides">
              <wp:wrapPolygon>
                <wp:start x="0" y="0"/>
                <wp:lineTo x="0" y="21467"/>
                <wp:lineTo x="21473" y="21467"/>
                <wp:lineTo x="21473" y="0"/>
                <wp:lineTo x="0" y="0"/>
              </wp:wrapPolygon>
            </wp:wrapThrough>
            <wp:docPr id="16" name="图片 16" descr="6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565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早餐后，世界文化遗址-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【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桑索斯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】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大规模的利西亚城市遗址，充分展现了利西亚与希腊文化的交融，尤其体现在葬殡艺术上。探寻《007》拍摄地-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【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费特希耶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】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土耳其南部著名的度假胜地，天然的海港藏匿在宽阔的海湾南部，海湾里散落着许多美丽的小岛，无疑是地中海巡游的绝 佳去处。这里几乎没有高层建筑，也没有大海港城市的繁华与喧嚣，小巧而精致的费特希耶处处充满了地中海原汁原味的异国情调。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午餐后，驱车前往棉花堡（车程约4小时），晚餐后入住酒店休息。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="微软雅黑" w:hAnsi="微软雅黑" w:eastAsia="微软雅黑" w:cs="微软雅黑"/>
          <w:b/>
          <w:color w:val="5D471C"/>
          <w:sz w:val="28"/>
          <w:szCs w:val="28"/>
        </w:rPr>
        <w:t xml:space="preserve">  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</w:rPr>
        <w:t>参考酒店：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棉花堡五星酒店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            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早餐：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酒店早餐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午餐：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当地餐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晚餐：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酒店晚餐</w:t>
      </w:r>
    </w:p>
    <w:p>
      <w:pPr>
        <w:spacing w:line="360" w:lineRule="exact"/>
        <w:rPr>
          <w:rFonts w:ascii="微软雅黑" w:hAnsi="微软雅黑" w:eastAsia="微软雅黑" w:cs="微软雅黑"/>
          <w:b/>
          <w:color w:val="843C0B" w:themeColor="accent2" w:themeShade="80"/>
          <w:sz w:val="28"/>
          <w:szCs w:val="28"/>
        </w:rPr>
      </w:pPr>
    </w:p>
    <w:p>
      <w:pPr>
        <w:spacing w:line="360" w:lineRule="exact"/>
        <w:rPr>
          <w:rFonts w:ascii="微软雅黑" w:hAnsi="微软雅黑" w:eastAsia="微软雅黑" w:cs="微软雅黑"/>
          <w:b/>
          <w:color w:val="843C0B" w:themeColor="accent2" w:themeShade="8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第九天 棉花堡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sym w:font="Wingdings" w:char="F0D8"/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库萨达斯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drawing>
          <wp:anchor distT="0" distB="0" distL="114300" distR="114300" simplePos="0" relativeHeight="15360" behindDoc="1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56515</wp:posOffset>
            </wp:positionV>
            <wp:extent cx="3947795" cy="2632075"/>
            <wp:effectExtent l="0" t="0" r="14605" b="15875"/>
            <wp:wrapThrough wrapText="bothSides">
              <wp:wrapPolygon>
                <wp:start x="0" y="0"/>
                <wp:lineTo x="0" y="21418"/>
                <wp:lineTo x="21471" y="21418"/>
                <wp:lineTo x="21471" y="0"/>
                <wp:lineTo x="0" y="0"/>
              </wp:wrapPolygon>
            </wp:wrapThrough>
            <wp:docPr id="17" name="图片 17" descr="66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656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早餐后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  <w:lang w:eastAsia="zh-CN"/>
        </w:rPr>
        <w:t>简单游玩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后前往【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棉花堡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】在“棉花堡”你会听到这样一个传说：曾经，牧羊人安迪密恩为了和希腊月神瑟莉妮幽会，竟然忘记了挤羊奶，致使羊奶恣意横流，盖住了整座丘陵，这便是土耳其民间有关棉花堡的美丽来由。坐落在山顶上的历史古城希拉波里斯，从古罗马时代就吸引着众多的人们来此进行水疗，并为今天的人们遗留下了温泉中心和温泉池，旁边设有泊车旅馆。</w:t>
      </w:r>
    </w:p>
    <w:p>
      <w:pPr>
        <w:spacing w:line="360" w:lineRule="exact"/>
        <w:ind w:firstLine="420" w:firstLineChars="200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【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希拉波利斯古城遗址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】希拉波利斯遗址是一处引人入胜、发人深思的遗址。该遗址位于土耳其东南部的代尼兹利省，距离库鲁克苏河谷北岸城镇约22公里。遗址的海拔高度大约有500米，而与公园北部紧密相邻接的科克雷兹山，竟然高达1,840米。顶点当然更高，但是在公园周边地区，高山顶点的高度达到了2,308米 (巴巴达格山顶)和2,571米 (霍内兹山顶)。从罗马时代起，雪白的石灰石连同热泉一起就被认为具有神奇的巨大魔力。</w:t>
      </w:r>
    </w:p>
    <w:p>
      <w:pPr>
        <w:spacing w:line="360" w:lineRule="exact"/>
        <w:ind w:firstLine="420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午餐后，驱车前往土耳其西端爱琴海边的渡假圣地－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库萨达斯（鸟岛）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0C0C0C" w:themeColor="text1" w:themeTint="F2"/>
        </w:rPr>
        <w:t>参考酒店：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库萨达斯五星酒店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                    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早餐：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酒店早餐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午餐：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当地餐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晚餐：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酒店晚餐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</w:p>
    <w:p>
      <w:pPr>
        <w:numPr>
          <w:ilvl w:val="0"/>
          <w:numId w:val="2"/>
        </w:numPr>
        <w:spacing w:line="360" w:lineRule="exact"/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库萨达斯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sym w:font="Wingdings" w:char="F0D8"/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伊兹密尔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sym w:font="Wingdings" w:char="F0D8"/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 xml:space="preserve">伊斯坦布尔       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color w:val="843C0B" w:themeColor="accent2" w:themeShade="80"/>
          <w:szCs w:val="21"/>
        </w:rPr>
        <w:t xml:space="preserve">参考航班：TK2335  ADBIST 2015 2135 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Cs w:val="21"/>
          <w:lang w:eastAsia="zh-CN"/>
        </w:rPr>
        <w:t>（已实际落实为准）</w:t>
      </w:r>
    </w:p>
    <w:p>
      <w:pPr>
        <w:spacing w:line="360" w:lineRule="exact"/>
        <w:ind w:firstLine="420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drawing>
          <wp:anchor distT="0" distB="0" distL="114300" distR="114300" simplePos="0" relativeHeight="17408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756920</wp:posOffset>
            </wp:positionV>
            <wp:extent cx="4235450" cy="2620645"/>
            <wp:effectExtent l="0" t="0" r="31750" b="46355"/>
            <wp:wrapThrough wrapText="bothSides">
              <wp:wrapPolygon>
                <wp:start x="0" y="0"/>
                <wp:lineTo x="0" y="21511"/>
                <wp:lineTo x="21470" y="21511"/>
                <wp:lineTo x="21470" y="0"/>
                <wp:lineTo x="0" y="0"/>
              </wp:wrapPolygon>
            </wp:wrapThrough>
            <wp:docPr id="19" name="图片 19" descr="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45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b="7224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早餐后，前往驱车前往保存得极为完整的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【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以弗所古城</w:t>
      </w:r>
      <w:r>
        <w:rPr>
          <w:rFonts w:hint="eastAsia" w:asciiTheme="minorEastAsia" w:hAnsiTheme="minorEastAsia" w:cstheme="minorEastAsia"/>
          <w:b/>
          <w:bCs/>
          <w:color w:val="0C0C0C" w:themeColor="text1" w:themeTint="F2"/>
          <w:szCs w:val="21"/>
        </w:rPr>
        <w:t>】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（参观时间:约 2 小时）以弗所是吕底亚古城和小亚细亚西岸希腊的重要城邦。位于爱琴海岸附近巴因德尔河口处。古代为库柏勒大神母(安纳托利亚丰收女神)和阿尔忒弥斯的崇拜中心。阿尔忒弥斯神庙为古代世界七大奇观之一。罗马时代以弗所是亚细亚省的首府和罗马总督驻地。圣保罗曾到过此城。19-20世纪开始发掘遗址。爱琴海岸西南12公里有库沙达瑟村游览地。塞尔丘克有图书馆，每年1月在此举行斗骆驼节。距塞尔丘克7公里有梅雷曼那教堂，据说圣母玛利亚在此度过她生命的最后日子。参观</w:t>
      </w:r>
      <w:r>
        <w:rPr>
          <w:rFonts w:hint="eastAsia" w:asciiTheme="minorEastAsia" w:hAnsiTheme="minorEastAsia" w:cstheme="minorEastAsia"/>
          <w:b/>
          <w:szCs w:val="21"/>
          <w:lang w:eastAsia="zh-CN"/>
        </w:rPr>
        <w:t>协议景点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（约 1 小时）。</w:t>
      </w:r>
    </w:p>
    <w:p>
      <w:pPr>
        <w:spacing w:line="360" w:lineRule="exact"/>
        <w:ind w:firstLine="420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午餐后，前往土耳其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特色糖果店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，自由选购土耳其软糖（约 1 小时），后前往伊兹密尔机场飞往万城之城伊斯坦布尔.抵达伊斯坦布尔后，入住酒店休息。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0C0C0C" w:themeColor="text1" w:themeTint="F2"/>
        </w:rPr>
        <w:t>参考酒店：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伊斯坦布尔五星酒店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               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早餐：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酒店早餐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午餐：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当地餐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晚餐：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当地餐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</w:p>
    <w:p>
      <w:pPr>
        <w:spacing w:line="360" w:lineRule="exact"/>
        <w:rPr>
          <w:rFonts w:asciiTheme="minorEastAsia" w:hAnsiTheme="minorEastAsia" w:cstheme="minorEastAsia"/>
          <w:bCs/>
          <w:color w:val="843C0B" w:themeColor="accent2" w:themeShade="80"/>
          <w:szCs w:val="21"/>
        </w:rPr>
      </w:pP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第十一天 伊斯坦布尔</w:t>
      </w:r>
    </w:p>
    <w:p>
      <w:pPr>
        <w:spacing w:line="360" w:lineRule="exact"/>
        <w:ind w:firstLine="840" w:firstLineChars="400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全天自由活动，不提供车和导游， 晚上定时间集合送机。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推荐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  <w:lang w:eastAsia="zh-CN"/>
        </w:rPr>
        <w:t>游玩项目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：乘船游览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【博斯普鲁斯海峡】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(游船时间约1小时)，博斯普鲁斯海峡是亚欧大陆的分界线，左岸欧洲，右岸亚洲，千年古都亭台楼阁古堡要塞，随着船行依次展现。自费项目：游船（含专业讲解，包船，土耳其红茶，导游服务，车费----）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drawing>
          <wp:anchor distT="0" distB="0" distL="114300" distR="114300" simplePos="0" relativeHeight="18432" behindDoc="1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69850</wp:posOffset>
            </wp:positionV>
            <wp:extent cx="4230370" cy="2678430"/>
            <wp:effectExtent l="0" t="0" r="17780" b="0"/>
            <wp:wrapThrough wrapText="bothSides">
              <wp:wrapPolygon>
                <wp:start x="0" y="0"/>
                <wp:lineTo x="0" y="21508"/>
                <wp:lineTo x="21496" y="21508"/>
                <wp:lineTo x="21496" y="0"/>
                <wp:lineTo x="0" y="0"/>
              </wp:wrapPolygon>
            </wp:wrapThrough>
            <wp:docPr id="20" name="图片 20" descr="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4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b="4957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2：参观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【多马巴切新皇宫】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（含讲解，车费，游览时间不少于1小时，每周一、四关闭），奥斯曼王朝最后六位苏丹的宫殿，占地七千公顷，有43处厅堂、70间浴室及285个房间。装饰新皇宫的大理石是从马尔马拉海运来的，雪花石是从埃及运来的，红斑石是从贝加蒙古城运来的，而室内装潢和照明都是意大利和法国艺术家设计的。皇宫内极尽奢华，宝藏令人目不暇接，黄金，象牙，珠宝、玉器随处可见，有许多是来自欧洲各皇室的礼物，特别是室内到处悬挂着璀璨的水晶灯，最重的竟达4吨半，成为世界之最，给人留下奢靡已极的深刻印象。</w:t>
      </w: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</w:p>
    <w:p>
      <w:pPr>
        <w:spacing w:line="360" w:lineRule="exact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0C0C0C" w:themeColor="text1" w:themeTint="F2"/>
        </w:rPr>
        <w:t>参考酒店：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0C0C0C" w:themeColor="text1" w:themeTint="F2"/>
          <w:szCs w:val="21"/>
        </w:rPr>
        <w:t>飞机上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                          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早餐：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酒店早餐 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午餐：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 xml:space="preserve">X </w:t>
      </w:r>
      <w:r>
        <w:rPr>
          <w:rFonts w:hint="eastAsia" w:asciiTheme="minorEastAsia" w:hAnsiTheme="minorEastAsia" w:cstheme="minorEastAsia"/>
          <w:b/>
          <w:color w:val="0C0C0C" w:themeColor="text1" w:themeTint="F2"/>
          <w:szCs w:val="21"/>
        </w:rPr>
        <w:t>晚餐：</w:t>
      </w: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X</w:t>
      </w:r>
    </w:p>
    <w:p>
      <w:pPr>
        <w:spacing w:line="360" w:lineRule="auto"/>
        <w:rPr>
          <w:rFonts w:ascii="微软雅黑" w:hAnsi="微软雅黑" w:eastAsia="微软雅黑" w:cs="微软雅黑"/>
          <w:b/>
          <w:color w:val="843C0B" w:themeColor="accent2" w:themeShade="80"/>
          <w:szCs w:val="21"/>
        </w:rPr>
      </w:pP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第十二天 伊斯坦布尔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sym w:font="Wingdings" w:char="F0D8"/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</w:rPr>
        <w:t>广州</w:t>
      </w:r>
    </w:p>
    <w:p>
      <w:pPr>
        <w:spacing w:line="360" w:lineRule="exact"/>
        <w:jc w:val="left"/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</w:rPr>
        <w:t>参考航班：WY16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</w:rPr>
        <w:t xml:space="preserve">  ISTMCT  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  <w:lang w:val="en-US" w:eastAsia="zh-CN"/>
        </w:rPr>
        <w:t>0055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</w:rPr>
        <w:t>/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  <w:lang w:val="en-US" w:eastAsia="zh-CN"/>
        </w:rPr>
        <w:t>0650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</w:rPr>
        <w:t>转 WY851 MCTCAN  09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0"/>
          <w:szCs w:val="20"/>
        </w:rPr>
        <w:t>0/2110</w:t>
      </w:r>
    </w:p>
    <w:p>
      <w:pPr>
        <w:spacing w:line="360" w:lineRule="exact"/>
        <w:ind w:firstLine="630" w:firstLineChars="300"/>
        <w:rPr>
          <w:rFonts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 w:cstheme="minorEastAsia"/>
          <w:bCs/>
          <w:color w:val="0C0C0C" w:themeColor="text1" w:themeTint="F2"/>
          <w:szCs w:val="21"/>
        </w:rPr>
        <w:t>抵达广州国际机场后，结束愉快的土耳其全境之旅。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</w:p>
    <w:p>
      <w:pPr>
        <w:jc w:val="center"/>
        <w:rPr>
          <w:rFonts w:ascii="宋体" w:hAnsi="宋体"/>
          <w:b/>
          <w:color w:val="843C0B" w:themeColor="accent2" w:themeShade="80"/>
          <w:sz w:val="18"/>
        </w:rPr>
      </w:pPr>
      <w:r>
        <w:rPr>
          <w:rFonts w:hint="eastAsia" w:ascii="宋体" w:hAnsi="宋体"/>
          <w:b/>
          <w:color w:val="843C0B" w:themeColor="accent2" w:themeShade="80"/>
          <w:sz w:val="18"/>
        </w:rPr>
        <w:t>☆☆☆☆☆☆如遇当地天气不允许或路况以及其他突发意外状况，导游会对景点顺序做相应调整 ☆☆☆☆☆☆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</w:p>
    <w:p>
      <w:pPr>
        <w:spacing w:line="360" w:lineRule="exact"/>
        <w:rPr>
          <w:rFonts w:eastAsia="微软雅黑" w:asciiTheme="minorEastAsia" w:hAnsiTheme="minorEastAsia" w:cstheme="minorEastAsia"/>
          <w:b/>
          <w:color w:val="843C0B" w:themeColor="accent2" w:themeShade="80"/>
          <w:szCs w:val="21"/>
        </w:rPr>
      </w:pPr>
      <w:r>
        <w:rPr>
          <w:rFonts w:hint="eastAsia" w:eastAsia="微软雅黑" w:asciiTheme="minorEastAsia" w:hAnsiTheme="minorEastAsia" w:cstheme="minorEastAsia"/>
          <w:b/>
          <w:color w:val="843C0B" w:themeColor="accent2" w:themeShade="80"/>
          <w:szCs w:val="21"/>
        </w:rPr>
        <w:t>费用已含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（1）交通：线路中列明的航空公司经济舱机票及税，境外空调旅游巴士。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（2）住宿：标准双人间（参见行程标准）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（3）保险：旅行社责任险。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（4）景点：行程表内所列的景点（不含景区小门票）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（5）膳食：行程中所列餐食，午晚餐为当地团队餐（10-12人一桌，中餐餐标六菜一汤)或西式餐（套餐或自助餐，酒水不含）。如果不用餐或因个人原因超出用餐时间到达餐厅的，不再另补且费用不退；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（6）赠送：每人每天一支矿泉水</w:t>
      </w:r>
    </w:p>
    <w:p>
      <w:pPr>
        <w:spacing w:line="360" w:lineRule="exact"/>
        <w:rPr>
          <w:rFonts w:eastAsia="微软雅黑" w:asciiTheme="minorEastAsia" w:hAnsiTheme="minorEastAsia" w:cstheme="minorEastAsia"/>
          <w:b/>
          <w:color w:val="843C0B" w:themeColor="accent2" w:themeShade="80"/>
          <w:szCs w:val="21"/>
        </w:rPr>
      </w:pPr>
      <w:r>
        <w:rPr>
          <w:rFonts w:hint="eastAsia" w:eastAsia="微软雅黑" w:asciiTheme="minorEastAsia" w:hAnsiTheme="minorEastAsia" w:cstheme="minorEastAsia"/>
          <w:b/>
          <w:color w:val="843C0B" w:themeColor="accent2" w:themeShade="80"/>
          <w:szCs w:val="21"/>
        </w:rPr>
        <w:t>费用不含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（1）行程外之自费节目及私人所产生的个人费用等。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（2）航空公司通知新增加的燃油附加费，节庆假日、展会期间酒店上浮价格。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（3）境外活动期间和转机期间因交通延阻、罢工、大风、大雾、航班取消或更改时间等人力不可抗拒的原因所引致的额外费用。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（4）意外保险：客人自理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（5）单房差 2500元/人。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 xml:space="preserve">（6）土耳其签证费 </w:t>
      </w: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  <w:lang w:val="en-US" w:eastAsia="zh-CN"/>
        </w:rPr>
        <w:t>500</w:t>
      </w: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元/人。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（7）小费：全程司机，导游服务费1300元人 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</w:p>
    <w:p>
      <w:pPr>
        <w:spacing w:line="360" w:lineRule="exact"/>
        <w:rPr>
          <w:rFonts w:eastAsia="微软雅黑" w:asciiTheme="minorEastAsia" w:hAnsiTheme="minorEastAsia" w:cstheme="minorEastAsia"/>
          <w:b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/>
          <w:color w:val="0C0C0C" w:themeColor="text1" w:themeTint="F2"/>
          <w:szCs w:val="21"/>
        </w:rPr>
        <w:t>注意事项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01）出境：请游客一定要携带护照。护照有效期必须在6个月以上，2页以上的空白页。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02）过关：集体过移民局/边防/海关，要听从领队安排，请不要私自行动，切记不要帮陌生人带行李，以防被人利用。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03）交通：飞机上禁用移动电话、游戏机，部分航空公司未提供免费餐饮，机上请勿大声喧哗。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04）托运：每人允许托运行李20公斤，每程行李托运费客人自理（土航/南航/国泰/阿联酋/埃航/阿曼）（超重部分另外支付附加费）如需托运，请现付柜台。每位旅客限携带1件随身行李：行李尺寸限制（56cm X 36cm X 23cm ）和重量限制（7kg）。请将贵重及易碎物品或需随时取用的物品放在随身行李内，如有遗失或被偷、抢，旅行社不负任何责任。100毫升以上的液体(如润肤露,洗发水等液体，容器超过100毫升)需要托运,抵达目的地后，先过移民局，后提取行李过关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05）住宿：贵重物品务必随身携带或存放酒店保险箱（免费）内。绝不可放在住宿房间或车上，如有遗失旅客必须自行负责，与地接社的责任无关；退房前请务必再次检查物品是否遗漏。建议您不要单独外出，行程中或住宿酒店外请不要与陌生人随意搭讪,以免受骗导致财产损失或危及个人安全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06）游览：（1）请注意导游宣布的注意事项、集合时间、地点，认清楚游览车的号码，务必准时集中，以免影响行程及团员情绪；（2）遵守当地风俗习惯，不要随地扔纸屑、烟头、吐痰；不要在公共场所、酒店、旅游车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上吸烟，在旅游过程中注意安全；（3）在旅游点和公共场所，注意自己的钱包及贵重物品，晚上外出最好结伴而行，安全第一；（4）自费增加项目，属个人自愿行为，与旅行社无关。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07）个人消费：各种私人费用自理，如使用酒店长途电话或其他服务，请自行结账。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08）必备物品：自备个人常用药品、太阳眼镜、雨伞、洗漱用品（毛巾、牙刷、牙膏）、拖鞋等，转换插座。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09）换汇：请提前在国内银行换好美金，当地的货币可在酒店/机场换取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10）通讯方面：开通了中国移动通讯全球通国际漫游的手机可以使用。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11）电子签：土耳其实行电子签证，需要提前一周将护照扫描件发于我社。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</w:rPr>
        <w:t>12）离团费：客人如果在旅游期间强行离团，需要交500元每人每天的离团费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  <w:highlight w:val="yellow"/>
        </w:rPr>
      </w:pPr>
      <w:r>
        <w:rPr>
          <w:rFonts w:hint="eastAsia" w:eastAsia="微软雅黑" w:asciiTheme="minorEastAsia" w:hAnsiTheme="minorEastAsia" w:cstheme="minorEastAsia"/>
          <w:bCs/>
          <w:color w:val="0C0C0C" w:themeColor="text1" w:themeTint="F2"/>
          <w:szCs w:val="21"/>
          <w:highlight w:val="yellow"/>
        </w:rPr>
        <w:t>13）小童团费：不满12周岁的小孩不占床团费减600；占床与成人同价；</w:t>
      </w: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 w:val="30"/>
          <w:szCs w:val="30"/>
        </w:rPr>
      </w:pP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</w:p>
    <w:p>
      <w:pPr>
        <w:spacing w:line="360" w:lineRule="exact"/>
        <w:rPr>
          <w:rFonts w:eastAsia="微软雅黑" w:asciiTheme="minorEastAsia" w:hAnsiTheme="minorEastAsia" w:cstheme="minorEastAsia"/>
          <w:bCs/>
          <w:color w:val="0C0C0C" w:themeColor="text1" w:themeTint="F2"/>
          <w:szCs w:val="21"/>
        </w:rPr>
      </w:pPr>
    </w:p>
    <w:sectPr>
      <w:headerReference r:id="rId3" w:type="default"/>
      <w:footerReference r:id="rId4" w:type="default"/>
      <w:pgSz w:w="11906" w:h="16838"/>
      <w:pgMar w:top="1600" w:right="846" w:bottom="898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Noto Sans CJK JP Regular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2638425</wp:posOffset>
          </wp:positionH>
          <wp:positionV relativeFrom="paragraph">
            <wp:posOffset>50800</wp:posOffset>
          </wp:positionV>
          <wp:extent cx="1466850" cy="663575"/>
          <wp:effectExtent l="0" t="0" r="0" b="3175"/>
          <wp:wrapThrough wrapText="bothSides">
            <wp:wrapPolygon>
              <wp:start x="0" y="0"/>
              <wp:lineTo x="0" y="21083"/>
              <wp:lineTo x="21319" y="21083"/>
              <wp:lineTo x="21319" y="0"/>
              <wp:lineTo x="0" y="0"/>
            </wp:wrapPolygon>
          </wp:wrapThrough>
          <wp:docPr id="9" name="图片 9" descr="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0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663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-497840</wp:posOffset>
          </wp:positionH>
          <wp:positionV relativeFrom="paragraph">
            <wp:posOffset>-556895</wp:posOffset>
          </wp:positionV>
          <wp:extent cx="7609205" cy="987425"/>
          <wp:effectExtent l="0" t="0" r="0" b="0"/>
          <wp:wrapThrough wrapText="bothSides">
            <wp:wrapPolygon>
              <wp:start x="0" y="0"/>
              <wp:lineTo x="0" y="21253"/>
              <wp:lineTo x="21522" y="21253"/>
              <wp:lineTo x="21522" y="0"/>
              <wp:lineTo x="0" y="0"/>
            </wp:wrapPolygon>
          </wp:wrapThrough>
          <wp:docPr id="8" name="图片 8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0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205" cy="987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FE550BC"/>
    <w:multiLevelType w:val="singleLevel"/>
    <w:tmpl w:val="EFE550BC"/>
    <w:lvl w:ilvl="0" w:tentative="0">
      <w:start w:val="5"/>
      <w:numFmt w:val="chineseCounting"/>
      <w:suff w:val="space"/>
      <w:lvlText w:val="第%1天"/>
      <w:lvlJc w:val="left"/>
      <w:rPr>
        <w:rFonts w:hint="eastAsia"/>
      </w:rPr>
    </w:lvl>
  </w:abstractNum>
  <w:abstractNum w:abstractNumId="1">
    <w:nsid w:val="1502975A"/>
    <w:multiLevelType w:val="singleLevel"/>
    <w:tmpl w:val="1502975A"/>
    <w:lvl w:ilvl="0" w:tentative="0">
      <w:start w:val="10"/>
      <w:numFmt w:val="chineseCounting"/>
      <w:suff w:val="space"/>
      <w:lvlText w:val="第%1天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8A20920"/>
    <w:rsid w:val="001C3EF0"/>
    <w:rsid w:val="00B11E92"/>
    <w:rsid w:val="00B57FA2"/>
    <w:rsid w:val="01064FC7"/>
    <w:rsid w:val="04D2289F"/>
    <w:rsid w:val="089F367B"/>
    <w:rsid w:val="0D8C4134"/>
    <w:rsid w:val="10133714"/>
    <w:rsid w:val="106F13B8"/>
    <w:rsid w:val="13EA7262"/>
    <w:rsid w:val="141C2310"/>
    <w:rsid w:val="14D03E58"/>
    <w:rsid w:val="156A39ED"/>
    <w:rsid w:val="16417D54"/>
    <w:rsid w:val="16FA75A9"/>
    <w:rsid w:val="1B6B2EE4"/>
    <w:rsid w:val="1BCC6F31"/>
    <w:rsid w:val="1BF17E98"/>
    <w:rsid w:val="1C720E90"/>
    <w:rsid w:val="1CDF13C2"/>
    <w:rsid w:val="1F1B3475"/>
    <w:rsid w:val="1FE12D81"/>
    <w:rsid w:val="1FFA5EE3"/>
    <w:rsid w:val="22812AA6"/>
    <w:rsid w:val="240242A9"/>
    <w:rsid w:val="240322C7"/>
    <w:rsid w:val="24C35608"/>
    <w:rsid w:val="27A96331"/>
    <w:rsid w:val="27D1162A"/>
    <w:rsid w:val="291F1FC7"/>
    <w:rsid w:val="2E0C546B"/>
    <w:rsid w:val="2E0D2157"/>
    <w:rsid w:val="2F4322CD"/>
    <w:rsid w:val="300E4CC2"/>
    <w:rsid w:val="348A08AA"/>
    <w:rsid w:val="365C3E9F"/>
    <w:rsid w:val="36715DF8"/>
    <w:rsid w:val="36886A44"/>
    <w:rsid w:val="3C1620F3"/>
    <w:rsid w:val="3E790AE9"/>
    <w:rsid w:val="3FAB2F1E"/>
    <w:rsid w:val="455861B4"/>
    <w:rsid w:val="48C57BA5"/>
    <w:rsid w:val="4C1E5753"/>
    <w:rsid w:val="4CA45063"/>
    <w:rsid w:val="4CAE039B"/>
    <w:rsid w:val="4DC24E80"/>
    <w:rsid w:val="502D1CD8"/>
    <w:rsid w:val="504760FC"/>
    <w:rsid w:val="50B66FAC"/>
    <w:rsid w:val="50EF7F00"/>
    <w:rsid w:val="51417F1A"/>
    <w:rsid w:val="517D388A"/>
    <w:rsid w:val="523F5534"/>
    <w:rsid w:val="53660138"/>
    <w:rsid w:val="54931C71"/>
    <w:rsid w:val="560B552E"/>
    <w:rsid w:val="56EE4995"/>
    <w:rsid w:val="58CA3098"/>
    <w:rsid w:val="58D00A3F"/>
    <w:rsid w:val="59E95CD8"/>
    <w:rsid w:val="5ADC32A4"/>
    <w:rsid w:val="60B730B6"/>
    <w:rsid w:val="60FA2269"/>
    <w:rsid w:val="616777CE"/>
    <w:rsid w:val="61721628"/>
    <w:rsid w:val="63A04195"/>
    <w:rsid w:val="653725F5"/>
    <w:rsid w:val="6739351E"/>
    <w:rsid w:val="67C30751"/>
    <w:rsid w:val="68A20920"/>
    <w:rsid w:val="6B4D1BB5"/>
    <w:rsid w:val="6CAF0796"/>
    <w:rsid w:val="6D535020"/>
    <w:rsid w:val="6D90511F"/>
    <w:rsid w:val="70603A8D"/>
    <w:rsid w:val="70B33DBA"/>
    <w:rsid w:val="72802111"/>
    <w:rsid w:val="73AC2052"/>
    <w:rsid w:val="7467155B"/>
    <w:rsid w:val="75F50167"/>
    <w:rsid w:val="780333AD"/>
    <w:rsid w:val="7B4C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4134"/>
      <w:outlineLvl w:val="0"/>
    </w:pPr>
    <w:rPr>
      <w:rFonts w:ascii="Noto Sans CJK JP Regular" w:hAnsi="Noto Sans CJK JP Regular" w:eastAsia="Noto Sans CJK JP Regular" w:cs="Noto Sans CJK JP Regular"/>
      <w:sz w:val="36"/>
      <w:szCs w:val="36"/>
    </w:rPr>
  </w:style>
  <w:style w:type="paragraph" w:styleId="3">
    <w:name w:val="heading 2"/>
    <w:basedOn w:val="1"/>
    <w:next w:val="1"/>
    <w:qFormat/>
    <w:uiPriority w:val="1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Noto Sans CJK JP Regular" w:hAnsi="Noto Sans CJK JP Regular" w:eastAsia="Noto Sans CJK JP Regular" w:cs="Noto Sans CJK JP Regular"/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Table Paragraph"/>
    <w:basedOn w:val="1"/>
    <w:qFormat/>
    <w:uiPriority w:val="1"/>
    <w:rPr>
      <w:rFonts w:ascii="Noto Sans CJK JP Regular" w:hAnsi="Noto Sans CJK JP Regular" w:eastAsia="Noto Sans CJK JP Regular" w:cs="Noto Sans CJK JP Regul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Company>Microsoft</Company>
  <Pages>15</Pages>
  <Words>7584</Words>
  <Characters>1225</Characters>
  <Lines>10</Lines>
  <Paragraphs>17</Paragraphs>
  <TotalTime>57</TotalTime>
  <ScaleCrop>false</ScaleCrop>
  <LinksUpToDate>false</LinksUpToDate>
  <CharactersWithSpaces>8792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2018-10-12T08:26:00Z</dcterms:created>
  <dc:creator>陈利伟-中之旅国际旅行社</dc:creator>
  <cp:lastModifiedBy>Administrator</cp:lastModifiedBy>
  <dcterms:modified xsi:type="dcterms:W3CDTF">2020-01-21T04:39:17Z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