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892" w:type="dxa"/>
        <w:jc w:val="cente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Layout w:type="fixed"/>
        <w:tblCellMar>
          <w:top w:w="0" w:type="dxa"/>
          <w:left w:w="108" w:type="dxa"/>
          <w:bottom w:w="0" w:type="dxa"/>
          <w:right w:w="108" w:type="dxa"/>
        </w:tblCellMar>
      </w:tblPr>
      <w:tblGrid>
        <w:gridCol w:w="1406"/>
        <w:gridCol w:w="7482"/>
        <w:gridCol w:w="2004"/>
      </w:tblGrid>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465" w:hRule="atLeast"/>
          <w:jc w:val="center"/>
        </w:trPr>
        <w:tc>
          <w:tcPr>
            <w:tcW w:w="10892" w:type="dxa"/>
            <w:gridSpan w:val="3"/>
            <w:noWrap w:val="0"/>
            <w:vAlign w:val="center"/>
          </w:tcPr>
          <w:p>
            <w:pPr>
              <w:widowControl/>
              <w:jc w:val="center"/>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补 充 协 议 书</w:t>
            </w:r>
          </w:p>
          <w:p>
            <w:pPr>
              <w:spacing w:line="276" w:lineRule="auto"/>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对旅游行程单中约定的行程安排，旅行社应旅游者要求并经双方协商一致，达成本补充协议，作为包价旅游合同的组成部分。</w:t>
            </w:r>
          </w:p>
          <w:p>
            <w:pPr>
              <w:spacing w:line="276"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豪华酒店用餐项目的价格为减去团餐费用后的差价，如贵宾参加豪华酒店用餐项目，若涉及行程含团餐的，则不另外退餐费，请熟知！</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465" w:hRule="atLeast"/>
          <w:jc w:val="center"/>
        </w:trPr>
        <w:tc>
          <w:tcPr>
            <w:tcW w:w="10892" w:type="dxa"/>
            <w:gridSpan w:val="3"/>
            <w:noWrap w:val="0"/>
            <w:vAlign w:val="center"/>
          </w:tcPr>
          <w:p>
            <w:pPr>
              <w:spacing w:line="276" w:lineRule="auto"/>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一、自费项目：（自由活动期间，自愿选择参与）                                                                                     </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531" w:hRule="atLeast"/>
          <w:jc w:val="center"/>
        </w:trPr>
        <w:tc>
          <w:tcPr>
            <w:tcW w:w="1406" w:type="dxa"/>
            <w:noWrap w:val="0"/>
            <w:vAlign w:val="center"/>
          </w:tcPr>
          <w:p>
            <w:pPr>
              <w:spacing w:line="276" w:lineRule="auto"/>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自费项目内容</w:t>
            </w:r>
          </w:p>
        </w:tc>
        <w:tc>
          <w:tcPr>
            <w:tcW w:w="7482" w:type="dxa"/>
            <w:noWrap w:val="0"/>
            <w:vAlign w:val="center"/>
          </w:tcPr>
          <w:p>
            <w:pPr>
              <w:spacing w:line="276" w:lineRule="auto"/>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费用（包含预订费、门票和其他服务费用）</w:t>
            </w:r>
          </w:p>
        </w:tc>
        <w:tc>
          <w:tcPr>
            <w:tcW w:w="2004" w:type="dxa"/>
            <w:noWrap w:val="0"/>
            <w:vAlign w:val="center"/>
          </w:tcPr>
          <w:p>
            <w:pPr>
              <w:spacing w:line="276" w:lineRule="auto"/>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参考费用</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585" w:hRule="atLeast"/>
          <w:jc w:val="center"/>
        </w:trPr>
        <w:tc>
          <w:tcPr>
            <w:tcW w:w="1406" w:type="dxa"/>
            <w:vMerge w:val="restart"/>
            <w:noWrap w:val="0"/>
            <w:vAlign w:val="center"/>
          </w:tcPr>
          <w:p>
            <w:pPr>
              <w:spacing w:line="276" w:lineRule="auto"/>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迪拜塔</w:t>
            </w:r>
            <w:r>
              <w:rPr>
                <w:rFonts w:ascii="微软雅黑" w:hAnsi="微软雅黑" w:eastAsia="微软雅黑" w:cs="微软雅黑"/>
                <w:kern w:val="0"/>
                <w:sz w:val="18"/>
                <w:szCs w:val="18"/>
              </w:rPr>
              <w:t xml:space="preserve"> </w:t>
            </w:r>
          </w:p>
        </w:tc>
        <w:tc>
          <w:tcPr>
            <w:tcW w:w="7482" w:type="dxa"/>
            <w:vMerge w:val="restart"/>
            <w:noWrap w:val="0"/>
            <w:vAlign w:val="center"/>
          </w:tcPr>
          <w:p>
            <w:pPr>
              <w:spacing w:line="276" w:lineRule="auto"/>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前往最新诞生的世界第一高楼，斥资15亿美元打造的【世界第一高塔-Burj Dubai哈里法塔】登上位于第124层楼高的景观台At the Top，举目所见尽是超现代化的摩天大楼，在天气好的時候，更可以远眺80公里远的美景。</w:t>
            </w:r>
          </w:p>
        </w:tc>
        <w:tc>
          <w:tcPr>
            <w:tcW w:w="2004" w:type="dxa"/>
            <w:tcBorders>
              <w:bottom w:val="single" w:color="F79646" w:sz="4" w:space="0"/>
            </w:tcBorders>
            <w:noWrap w:val="0"/>
            <w:vAlign w:val="center"/>
          </w:tcPr>
          <w:p>
            <w:pPr>
              <w:spacing w:line="276" w:lineRule="auto"/>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USD85/人</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476" w:hRule="atLeast"/>
          <w:jc w:val="center"/>
        </w:trPr>
        <w:tc>
          <w:tcPr>
            <w:tcW w:w="1406" w:type="dxa"/>
            <w:vMerge w:val="continue"/>
            <w:noWrap w:val="0"/>
            <w:vAlign w:val="center"/>
          </w:tcPr>
          <w:p>
            <w:pPr>
              <w:spacing w:line="276" w:lineRule="auto"/>
              <w:jc w:val="left"/>
              <w:rPr>
                <w:rFonts w:hint="eastAsia" w:ascii="微软雅黑" w:hAnsi="微软雅黑" w:eastAsia="微软雅黑" w:cs="微软雅黑"/>
                <w:kern w:val="0"/>
                <w:sz w:val="18"/>
                <w:szCs w:val="18"/>
              </w:rPr>
            </w:pPr>
          </w:p>
        </w:tc>
        <w:tc>
          <w:tcPr>
            <w:tcW w:w="7482" w:type="dxa"/>
            <w:vMerge w:val="continue"/>
            <w:noWrap w:val="0"/>
            <w:vAlign w:val="center"/>
          </w:tcPr>
          <w:p>
            <w:pPr>
              <w:spacing w:line="276" w:lineRule="auto"/>
              <w:rPr>
                <w:rFonts w:hint="eastAsia" w:ascii="微软雅黑" w:hAnsi="微软雅黑" w:eastAsia="微软雅黑" w:cs="微软雅黑"/>
                <w:kern w:val="0"/>
                <w:sz w:val="18"/>
                <w:szCs w:val="18"/>
              </w:rPr>
            </w:pPr>
          </w:p>
        </w:tc>
        <w:tc>
          <w:tcPr>
            <w:tcW w:w="2004" w:type="dxa"/>
            <w:tcBorders>
              <w:top w:val="single" w:color="F79646" w:sz="4" w:space="0"/>
            </w:tcBorders>
            <w:noWrap w:val="0"/>
            <w:vAlign w:val="center"/>
          </w:tcPr>
          <w:p>
            <w:pPr>
              <w:spacing w:line="276"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USD105/人（14:00-19:00）</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904" w:hRule="atLeast"/>
          <w:jc w:val="center"/>
        </w:trPr>
        <w:tc>
          <w:tcPr>
            <w:tcW w:w="1406" w:type="dxa"/>
            <w:vMerge w:val="restart"/>
            <w:noWrap w:val="0"/>
            <w:vAlign w:val="center"/>
          </w:tcPr>
          <w:p>
            <w:pPr>
              <w:spacing w:line="276" w:lineRule="auto"/>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迪拜</w:t>
            </w:r>
          </w:p>
          <w:p>
            <w:pPr>
              <w:spacing w:line="276" w:lineRule="auto"/>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游艇畅游</w:t>
            </w:r>
          </w:p>
        </w:tc>
        <w:tc>
          <w:tcPr>
            <w:tcW w:w="7482" w:type="dxa"/>
            <w:vMerge w:val="restart"/>
            <w:noWrap w:val="0"/>
            <w:vAlign w:val="center"/>
          </w:tcPr>
          <w:p>
            <w:pPr>
              <w:spacing w:line="276" w:lineRule="auto"/>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在游艇码头乘坐游艇，从不同角度来审视不一样的迪拜之美，游艇驶出滨海新城，穿越高楼林立的DUBAI MARINA滨海新城，沿着棕榈岛沿岸行驶，沿途欣赏海岸的无敌风光，感受世界上第一个七星级帆船酒店、世界第八大奇迹人工棕榈岛的雄伟气势。近距离地观赏到这些“奇迹”的近貌。围着这些人类奇迹慢慢转一圈，也是一件赏心悦目的乐事。（约2小时不含餐）</w:t>
            </w:r>
            <w:bookmarkStart w:id="0" w:name="_GoBack"/>
            <w:bookmarkEnd w:id="0"/>
          </w:p>
        </w:tc>
        <w:tc>
          <w:tcPr>
            <w:tcW w:w="2004" w:type="dxa"/>
            <w:tcBorders>
              <w:bottom w:val="single" w:color="F79646" w:sz="4" w:space="0"/>
            </w:tcBorders>
            <w:noWrap w:val="0"/>
            <w:vAlign w:val="center"/>
          </w:tcPr>
          <w:p>
            <w:pPr>
              <w:spacing w:line="276"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USD100/人</w:t>
            </w:r>
          </w:p>
          <w:p>
            <w:pPr>
              <w:spacing w:line="276" w:lineRule="auto"/>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（不含餐）</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744" w:hRule="atLeast"/>
          <w:jc w:val="center"/>
        </w:trPr>
        <w:tc>
          <w:tcPr>
            <w:tcW w:w="1406" w:type="dxa"/>
            <w:vMerge w:val="continue"/>
            <w:noWrap w:val="0"/>
            <w:vAlign w:val="center"/>
          </w:tcPr>
          <w:p>
            <w:pPr>
              <w:spacing w:line="276" w:lineRule="auto"/>
              <w:jc w:val="left"/>
              <w:rPr>
                <w:rFonts w:hint="eastAsia" w:ascii="微软雅黑" w:hAnsi="微软雅黑" w:eastAsia="微软雅黑" w:cs="微软雅黑"/>
                <w:kern w:val="0"/>
                <w:sz w:val="18"/>
                <w:szCs w:val="18"/>
              </w:rPr>
            </w:pPr>
          </w:p>
        </w:tc>
        <w:tc>
          <w:tcPr>
            <w:tcW w:w="7482" w:type="dxa"/>
            <w:vMerge w:val="continue"/>
            <w:noWrap w:val="0"/>
            <w:vAlign w:val="center"/>
          </w:tcPr>
          <w:p>
            <w:pPr>
              <w:spacing w:line="276" w:lineRule="auto"/>
              <w:jc w:val="left"/>
              <w:rPr>
                <w:rFonts w:hint="eastAsia" w:ascii="微软雅黑" w:hAnsi="微软雅黑" w:eastAsia="微软雅黑" w:cs="微软雅黑"/>
                <w:kern w:val="0"/>
                <w:sz w:val="18"/>
                <w:szCs w:val="18"/>
              </w:rPr>
            </w:pPr>
          </w:p>
        </w:tc>
        <w:tc>
          <w:tcPr>
            <w:tcW w:w="2004" w:type="dxa"/>
            <w:tcBorders>
              <w:top w:val="single" w:color="F79646" w:sz="4" w:space="0"/>
            </w:tcBorders>
            <w:noWrap w:val="0"/>
            <w:vAlign w:val="center"/>
          </w:tcPr>
          <w:p>
            <w:pPr>
              <w:spacing w:line="276"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USD120/人</w:t>
            </w:r>
          </w:p>
          <w:p>
            <w:pPr>
              <w:spacing w:line="276"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（含晚餐）</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647" w:hRule="atLeast"/>
          <w:jc w:val="center"/>
        </w:trPr>
        <w:tc>
          <w:tcPr>
            <w:tcW w:w="1406" w:type="dxa"/>
            <w:vMerge w:val="restart"/>
            <w:noWrap w:val="0"/>
            <w:vAlign w:val="center"/>
          </w:tcPr>
          <w:p>
            <w:pPr>
              <w:spacing w:line="276" w:lineRule="auto"/>
              <w:jc w:val="left"/>
              <w:rPr>
                <w:rFonts w:ascii="微软雅黑" w:hAnsi="微软雅黑" w:eastAsia="微软雅黑" w:cs="微软雅黑"/>
                <w:kern w:val="0"/>
                <w:sz w:val="18"/>
                <w:szCs w:val="18"/>
              </w:rPr>
            </w:pPr>
            <w:r>
              <w:rPr>
                <w:rFonts w:ascii="微软雅黑" w:hAnsi="微软雅黑" w:eastAsia="微软雅黑" w:cs="微软雅黑"/>
                <w:kern w:val="0"/>
                <w:sz w:val="18"/>
                <w:szCs w:val="18"/>
              </w:rPr>
              <w:t>6</w:t>
            </w:r>
            <w:r>
              <w:rPr>
                <w:rFonts w:hint="eastAsia" w:ascii="微软雅黑" w:hAnsi="微软雅黑" w:eastAsia="微软雅黑" w:cs="微软雅黑"/>
                <w:kern w:val="0"/>
                <w:sz w:val="18"/>
                <w:szCs w:val="18"/>
              </w:rPr>
              <w:t>星亚特兰蒂斯酒店</w:t>
            </w:r>
          </w:p>
        </w:tc>
        <w:tc>
          <w:tcPr>
            <w:tcW w:w="7482" w:type="dxa"/>
            <w:vMerge w:val="restart"/>
            <w:noWrap w:val="0"/>
            <w:vAlign w:val="center"/>
          </w:tcPr>
          <w:p>
            <w:pPr>
              <w:spacing w:line="276" w:lineRule="auto"/>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前往世界上最豪华酒店亚特兰蒂斯酒店午餐（万花筒自助餐厅），亚特兰蒂斯(Atlantis)，耗资15亿美元兴建，坐落沙特迪拜的棕榈人工岛Palm Jumeirah上（此预订不包含酒、水、饮料等（需自理））</w:t>
            </w:r>
          </w:p>
        </w:tc>
        <w:tc>
          <w:tcPr>
            <w:tcW w:w="2004" w:type="dxa"/>
            <w:noWrap w:val="0"/>
            <w:vAlign w:val="center"/>
          </w:tcPr>
          <w:p>
            <w:pPr>
              <w:spacing w:line="276" w:lineRule="auto"/>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午餐USD100/人</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685" w:hRule="atLeast"/>
          <w:jc w:val="center"/>
        </w:trPr>
        <w:tc>
          <w:tcPr>
            <w:tcW w:w="1406" w:type="dxa"/>
            <w:vMerge w:val="continue"/>
            <w:noWrap w:val="0"/>
            <w:vAlign w:val="center"/>
          </w:tcPr>
          <w:p>
            <w:pPr>
              <w:widowControl/>
              <w:spacing w:line="276" w:lineRule="auto"/>
              <w:jc w:val="left"/>
              <w:rPr>
                <w:rFonts w:ascii="微软雅黑" w:hAnsi="微软雅黑" w:eastAsia="微软雅黑" w:cs="微软雅黑"/>
                <w:kern w:val="0"/>
                <w:sz w:val="18"/>
                <w:szCs w:val="18"/>
              </w:rPr>
            </w:pPr>
          </w:p>
        </w:tc>
        <w:tc>
          <w:tcPr>
            <w:tcW w:w="7482" w:type="dxa"/>
            <w:vMerge w:val="continue"/>
            <w:noWrap w:val="0"/>
            <w:vAlign w:val="center"/>
          </w:tcPr>
          <w:p>
            <w:pPr>
              <w:widowControl/>
              <w:spacing w:line="276" w:lineRule="auto"/>
              <w:jc w:val="left"/>
              <w:rPr>
                <w:rFonts w:ascii="微软雅黑" w:hAnsi="微软雅黑" w:eastAsia="微软雅黑" w:cs="微软雅黑"/>
                <w:kern w:val="0"/>
                <w:sz w:val="18"/>
                <w:szCs w:val="18"/>
              </w:rPr>
            </w:pPr>
          </w:p>
        </w:tc>
        <w:tc>
          <w:tcPr>
            <w:tcW w:w="2004" w:type="dxa"/>
            <w:noWrap w:val="0"/>
            <w:vAlign w:val="center"/>
          </w:tcPr>
          <w:p>
            <w:pPr>
              <w:spacing w:line="276" w:lineRule="auto"/>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晚餐USD115/人</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462" w:hRule="atLeast"/>
          <w:jc w:val="center"/>
        </w:trPr>
        <w:tc>
          <w:tcPr>
            <w:tcW w:w="1406" w:type="dxa"/>
            <w:vMerge w:val="restart"/>
            <w:noWrap w:val="0"/>
            <w:vAlign w:val="center"/>
          </w:tcPr>
          <w:p>
            <w:pPr>
              <w:spacing w:line="276" w:lineRule="auto"/>
              <w:jc w:val="left"/>
              <w:rPr>
                <w:rFonts w:ascii="微软雅黑" w:hAnsi="微软雅黑" w:eastAsia="微软雅黑" w:cs="微软雅黑"/>
                <w:kern w:val="0"/>
                <w:sz w:val="18"/>
                <w:szCs w:val="18"/>
              </w:rPr>
            </w:pPr>
            <w:r>
              <w:rPr>
                <w:rFonts w:ascii="微软雅黑" w:hAnsi="微软雅黑" w:eastAsia="微软雅黑" w:cs="微软雅黑"/>
                <w:kern w:val="0"/>
                <w:sz w:val="18"/>
                <w:szCs w:val="18"/>
              </w:rPr>
              <w:t>7</w:t>
            </w:r>
            <w:r>
              <w:rPr>
                <w:rFonts w:hint="eastAsia" w:ascii="微软雅黑" w:hAnsi="微软雅黑" w:eastAsia="微软雅黑" w:cs="微软雅黑"/>
                <w:kern w:val="0"/>
                <w:sz w:val="18"/>
                <w:szCs w:val="18"/>
              </w:rPr>
              <w:t>星帆船</w:t>
            </w:r>
          </w:p>
          <w:p>
            <w:pPr>
              <w:spacing w:line="276" w:lineRule="auto"/>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酒店</w:t>
            </w:r>
          </w:p>
        </w:tc>
        <w:tc>
          <w:tcPr>
            <w:tcW w:w="7482" w:type="dxa"/>
            <w:vMerge w:val="restart"/>
            <w:noWrap w:val="0"/>
            <w:vAlign w:val="center"/>
          </w:tcPr>
          <w:p>
            <w:pPr>
              <w:widowControl/>
              <w:spacing w:line="276" w:lineRule="auto"/>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【伯瓷亚洲自助餐】 Junsui在日文中意为“纯净”。亚洲自助餐厅是一间全新的东亚风味餐厅；烹饪团队由亚洲厨师组成，开放式厨房设有十二个案台，为客人现场烹制各种美味。倾情奉上日式、中式、泰式、印尼式和韩式美食。（此预订不包含酒、水、饮料等（客人自理），预报人数至少8-10人以上）。</w:t>
            </w:r>
          </w:p>
        </w:tc>
        <w:tc>
          <w:tcPr>
            <w:tcW w:w="2004" w:type="dxa"/>
            <w:noWrap w:val="0"/>
            <w:vAlign w:val="center"/>
          </w:tcPr>
          <w:p>
            <w:pPr>
              <w:spacing w:line="276" w:lineRule="auto"/>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早餐 USD165/人</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468" w:hRule="atLeast"/>
          <w:jc w:val="center"/>
        </w:trPr>
        <w:tc>
          <w:tcPr>
            <w:tcW w:w="1406" w:type="dxa"/>
            <w:vMerge w:val="continue"/>
            <w:noWrap w:val="0"/>
            <w:vAlign w:val="center"/>
          </w:tcPr>
          <w:p>
            <w:pPr>
              <w:spacing w:line="276" w:lineRule="auto"/>
              <w:jc w:val="left"/>
              <w:rPr>
                <w:rFonts w:ascii="微软雅黑" w:hAnsi="微软雅黑" w:eastAsia="微软雅黑" w:cs="微软雅黑"/>
                <w:kern w:val="0"/>
                <w:sz w:val="18"/>
                <w:szCs w:val="18"/>
              </w:rPr>
            </w:pPr>
          </w:p>
        </w:tc>
        <w:tc>
          <w:tcPr>
            <w:tcW w:w="7482" w:type="dxa"/>
            <w:vMerge w:val="continue"/>
            <w:noWrap w:val="0"/>
            <w:vAlign w:val="center"/>
          </w:tcPr>
          <w:p>
            <w:pPr>
              <w:widowControl/>
              <w:spacing w:line="276" w:lineRule="auto"/>
              <w:rPr>
                <w:rFonts w:ascii="微软雅黑" w:hAnsi="微软雅黑" w:eastAsia="微软雅黑" w:cs="微软雅黑"/>
                <w:kern w:val="0"/>
                <w:sz w:val="18"/>
                <w:szCs w:val="18"/>
              </w:rPr>
            </w:pPr>
          </w:p>
        </w:tc>
        <w:tc>
          <w:tcPr>
            <w:tcW w:w="2004" w:type="dxa"/>
            <w:noWrap w:val="0"/>
            <w:vAlign w:val="center"/>
          </w:tcPr>
          <w:p>
            <w:pPr>
              <w:spacing w:line="276" w:lineRule="auto"/>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午餐USD210/人</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190" w:hRule="atLeast"/>
          <w:jc w:val="center"/>
        </w:trPr>
        <w:tc>
          <w:tcPr>
            <w:tcW w:w="1406" w:type="dxa"/>
            <w:vMerge w:val="continue"/>
            <w:noWrap w:val="0"/>
            <w:vAlign w:val="center"/>
          </w:tcPr>
          <w:p>
            <w:pPr>
              <w:widowControl/>
              <w:spacing w:line="276" w:lineRule="auto"/>
              <w:jc w:val="left"/>
              <w:rPr>
                <w:rFonts w:ascii="微软雅黑" w:hAnsi="微软雅黑" w:eastAsia="微软雅黑" w:cs="微软雅黑"/>
                <w:kern w:val="0"/>
                <w:sz w:val="18"/>
                <w:szCs w:val="18"/>
              </w:rPr>
            </w:pPr>
          </w:p>
        </w:tc>
        <w:tc>
          <w:tcPr>
            <w:tcW w:w="7482" w:type="dxa"/>
            <w:vMerge w:val="continue"/>
            <w:noWrap w:val="0"/>
            <w:vAlign w:val="center"/>
          </w:tcPr>
          <w:p>
            <w:pPr>
              <w:widowControl/>
              <w:spacing w:line="276" w:lineRule="auto"/>
              <w:jc w:val="left"/>
              <w:rPr>
                <w:rFonts w:ascii="微软雅黑" w:hAnsi="微软雅黑" w:eastAsia="微软雅黑" w:cs="微软雅黑"/>
                <w:kern w:val="0"/>
                <w:sz w:val="18"/>
                <w:szCs w:val="18"/>
              </w:rPr>
            </w:pPr>
          </w:p>
        </w:tc>
        <w:tc>
          <w:tcPr>
            <w:tcW w:w="2004" w:type="dxa"/>
            <w:noWrap w:val="0"/>
            <w:vAlign w:val="center"/>
          </w:tcPr>
          <w:p>
            <w:pPr>
              <w:spacing w:line="276" w:lineRule="auto"/>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晚餐USD225/人</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529" w:hRule="atLeast"/>
          <w:jc w:val="center"/>
        </w:trPr>
        <w:tc>
          <w:tcPr>
            <w:tcW w:w="1406" w:type="dxa"/>
            <w:vMerge w:val="restart"/>
            <w:noWrap w:val="0"/>
            <w:vAlign w:val="center"/>
          </w:tcPr>
          <w:p>
            <w:pPr>
              <w:spacing w:line="276" w:lineRule="auto"/>
              <w:jc w:val="left"/>
              <w:rPr>
                <w:rFonts w:ascii="微软雅黑" w:hAnsi="微软雅黑" w:eastAsia="微软雅黑" w:cs="微软雅黑"/>
                <w:kern w:val="0"/>
                <w:sz w:val="18"/>
                <w:szCs w:val="18"/>
              </w:rPr>
            </w:pPr>
            <w:r>
              <w:rPr>
                <w:rFonts w:ascii="微软雅黑" w:hAnsi="微软雅黑" w:eastAsia="微软雅黑" w:cs="微软雅黑"/>
                <w:kern w:val="0"/>
                <w:sz w:val="18"/>
                <w:szCs w:val="18"/>
              </w:rPr>
              <w:t>8</w:t>
            </w:r>
            <w:r>
              <w:rPr>
                <w:rFonts w:hint="eastAsia" w:ascii="微软雅黑" w:hAnsi="微软雅黑" w:eastAsia="微软雅黑" w:cs="微软雅黑"/>
                <w:kern w:val="0"/>
                <w:sz w:val="18"/>
                <w:szCs w:val="18"/>
              </w:rPr>
              <w:t>星皇宫</w:t>
            </w:r>
          </w:p>
          <w:p>
            <w:pPr>
              <w:spacing w:line="276" w:lineRule="auto"/>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酒店</w:t>
            </w:r>
          </w:p>
        </w:tc>
        <w:tc>
          <w:tcPr>
            <w:tcW w:w="7482" w:type="dxa"/>
            <w:vMerge w:val="restart"/>
            <w:noWrap w:val="0"/>
            <w:vAlign w:val="center"/>
          </w:tcPr>
          <w:p>
            <w:pPr>
              <w:spacing w:line="276" w:lineRule="auto"/>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特别安排在被誉为世界最豪华之-八星皇宫酒店享用自助餐，一睹其奢华】融合传统阿拉伯式与国际性的特色风味料理，景致丰盛的自助餐、浪漫幽雅的用餐环境，搭配玻璃窗外的景色，将成为您永生难忘的回忆。（此预订不包含酒、水、饮料等（需自理），预报人数至少8-10人以上）</w:t>
            </w:r>
          </w:p>
        </w:tc>
        <w:tc>
          <w:tcPr>
            <w:tcW w:w="2004" w:type="dxa"/>
            <w:tcBorders>
              <w:bottom w:val="single" w:color="F79646" w:sz="4" w:space="0"/>
            </w:tcBorders>
            <w:noWrap w:val="0"/>
            <w:vAlign w:val="center"/>
          </w:tcPr>
          <w:p>
            <w:pPr>
              <w:spacing w:line="276" w:lineRule="auto"/>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金箔咖啡USD85/人</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551" w:hRule="atLeast"/>
          <w:jc w:val="center"/>
        </w:trPr>
        <w:tc>
          <w:tcPr>
            <w:tcW w:w="1406" w:type="dxa"/>
            <w:vMerge w:val="continue"/>
            <w:noWrap w:val="0"/>
            <w:vAlign w:val="center"/>
          </w:tcPr>
          <w:p>
            <w:pPr>
              <w:spacing w:line="276" w:lineRule="auto"/>
              <w:jc w:val="left"/>
              <w:rPr>
                <w:rFonts w:ascii="微软雅黑" w:hAnsi="微软雅黑" w:eastAsia="微软雅黑" w:cs="微软雅黑"/>
                <w:kern w:val="0"/>
                <w:sz w:val="18"/>
                <w:szCs w:val="18"/>
              </w:rPr>
            </w:pPr>
          </w:p>
        </w:tc>
        <w:tc>
          <w:tcPr>
            <w:tcW w:w="7482" w:type="dxa"/>
            <w:vMerge w:val="continue"/>
            <w:noWrap w:val="0"/>
            <w:vAlign w:val="center"/>
          </w:tcPr>
          <w:p>
            <w:pPr>
              <w:spacing w:line="276" w:lineRule="auto"/>
              <w:rPr>
                <w:rFonts w:hint="eastAsia" w:ascii="微软雅黑" w:hAnsi="微软雅黑" w:eastAsia="微软雅黑" w:cs="微软雅黑"/>
                <w:kern w:val="0"/>
                <w:sz w:val="18"/>
                <w:szCs w:val="18"/>
              </w:rPr>
            </w:pPr>
          </w:p>
        </w:tc>
        <w:tc>
          <w:tcPr>
            <w:tcW w:w="2004" w:type="dxa"/>
            <w:tcBorders>
              <w:top w:val="single" w:color="F79646" w:sz="4" w:space="0"/>
            </w:tcBorders>
            <w:noWrap w:val="0"/>
            <w:vAlign w:val="center"/>
          </w:tcPr>
          <w:p>
            <w:pPr>
              <w:spacing w:line="276" w:lineRule="auto"/>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午餐USD180/人</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557" w:hRule="atLeast"/>
          <w:jc w:val="center"/>
        </w:trPr>
        <w:tc>
          <w:tcPr>
            <w:tcW w:w="1406" w:type="dxa"/>
            <w:vMerge w:val="continue"/>
            <w:noWrap w:val="0"/>
            <w:vAlign w:val="center"/>
          </w:tcPr>
          <w:p>
            <w:pPr>
              <w:widowControl/>
              <w:spacing w:line="276" w:lineRule="auto"/>
              <w:jc w:val="left"/>
              <w:rPr>
                <w:rFonts w:ascii="微软雅黑" w:hAnsi="微软雅黑" w:eastAsia="微软雅黑" w:cs="微软雅黑"/>
                <w:kern w:val="0"/>
                <w:sz w:val="18"/>
                <w:szCs w:val="18"/>
              </w:rPr>
            </w:pPr>
          </w:p>
        </w:tc>
        <w:tc>
          <w:tcPr>
            <w:tcW w:w="7482" w:type="dxa"/>
            <w:vMerge w:val="continue"/>
            <w:noWrap w:val="0"/>
            <w:vAlign w:val="center"/>
          </w:tcPr>
          <w:p>
            <w:pPr>
              <w:widowControl/>
              <w:spacing w:line="276" w:lineRule="auto"/>
              <w:jc w:val="left"/>
              <w:rPr>
                <w:rFonts w:ascii="微软雅黑" w:hAnsi="微软雅黑" w:eastAsia="微软雅黑" w:cs="微软雅黑"/>
                <w:kern w:val="0"/>
                <w:sz w:val="18"/>
                <w:szCs w:val="18"/>
              </w:rPr>
            </w:pPr>
          </w:p>
        </w:tc>
        <w:tc>
          <w:tcPr>
            <w:tcW w:w="2004" w:type="dxa"/>
            <w:noWrap w:val="0"/>
            <w:vAlign w:val="center"/>
          </w:tcPr>
          <w:p>
            <w:pPr>
              <w:spacing w:line="276" w:lineRule="auto"/>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晚餐USD200/人</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460" w:hRule="atLeast"/>
          <w:jc w:val="center"/>
        </w:trPr>
        <w:tc>
          <w:tcPr>
            <w:tcW w:w="1406" w:type="dxa"/>
            <w:noWrap w:val="0"/>
            <w:vAlign w:val="center"/>
          </w:tcPr>
          <w:p>
            <w:pPr>
              <w:spacing w:line="276" w:lineRule="auto"/>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法拉利公园</w:t>
            </w:r>
          </w:p>
        </w:tc>
        <w:tc>
          <w:tcPr>
            <w:tcW w:w="7482" w:type="dxa"/>
            <w:noWrap w:val="0"/>
            <w:vAlign w:val="center"/>
          </w:tcPr>
          <w:p>
            <w:pPr>
              <w:spacing w:line="276" w:lineRule="auto"/>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w:t>
            </w:r>
          </w:p>
        </w:tc>
        <w:tc>
          <w:tcPr>
            <w:tcW w:w="2004" w:type="dxa"/>
            <w:noWrap w:val="0"/>
            <w:vAlign w:val="center"/>
          </w:tcPr>
          <w:p>
            <w:pPr>
              <w:spacing w:line="276" w:lineRule="auto"/>
              <w:jc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USD115/人</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460" w:hRule="atLeast"/>
          <w:jc w:val="center"/>
        </w:trPr>
        <w:tc>
          <w:tcPr>
            <w:tcW w:w="1406" w:type="dxa"/>
            <w:noWrap w:val="0"/>
            <w:vAlign w:val="center"/>
          </w:tcPr>
          <w:p>
            <w:pPr>
              <w:spacing w:line="276"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水上飞机</w:t>
            </w:r>
          </w:p>
        </w:tc>
        <w:tc>
          <w:tcPr>
            <w:tcW w:w="7482" w:type="dxa"/>
            <w:noWrap w:val="0"/>
            <w:vAlign w:val="center"/>
          </w:tcPr>
          <w:p>
            <w:pPr>
              <w:spacing w:line="276"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水上飞机从迪拜河湾地飞，低空飞行迪拜境内15分钟。以最完美的角度一勘迪拜城的全貌：  北部古雅的传统老城区，南部令人咂舌的新兴摩天大楼，西部充满着荒芜与绝望气息的沙漠，东部充满着生命力的波斯海湾。在空中观看世界最高楼哈莱法塔，在空中俯瞰世界岛，俯瞰棕榈岛，帆船酒店，等新奇建筑。（预报人数至少5人以上）</w:t>
            </w:r>
          </w:p>
        </w:tc>
        <w:tc>
          <w:tcPr>
            <w:tcW w:w="2004" w:type="dxa"/>
            <w:noWrap w:val="0"/>
            <w:vAlign w:val="center"/>
          </w:tcPr>
          <w:p>
            <w:pPr>
              <w:spacing w:line="276"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USD220/人</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460" w:hRule="atLeast"/>
          <w:jc w:val="center"/>
        </w:trPr>
        <w:tc>
          <w:tcPr>
            <w:tcW w:w="1406" w:type="dxa"/>
            <w:noWrap w:val="0"/>
            <w:vAlign w:val="center"/>
          </w:tcPr>
          <w:p>
            <w:pPr>
              <w:spacing w:line="276" w:lineRule="auto"/>
              <w:jc w:val="left"/>
              <w:rPr>
                <w:rFonts w:hint="eastAsia" w:ascii="微软雅黑" w:hAnsi="微软雅黑" w:eastAsia="微软雅黑" w:cs="微软雅黑"/>
                <w:kern w:val="0"/>
                <w:sz w:val="18"/>
                <w:szCs w:val="18"/>
              </w:rPr>
            </w:pPr>
            <w:r>
              <w:rPr>
                <w:rFonts w:ascii="微软雅黑" w:hAnsi="微软雅黑" w:eastAsia="微软雅黑" w:cs="微软雅黑"/>
                <w:kern w:val="0"/>
                <w:sz w:val="18"/>
                <w:szCs w:val="18"/>
              </w:rPr>
              <w:t>迪拜梦幻水舞间</w:t>
            </w:r>
            <w:r>
              <w:rPr>
                <w:rFonts w:hint="eastAsia" w:ascii="微软雅黑" w:hAnsi="微软雅黑" w:eastAsia="微软雅黑" w:cs="微软雅黑"/>
                <w:kern w:val="0"/>
                <w:sz w:val="18"/>
                <w:szCs w:val="18"/>
              </w:rPr>
              <w:t>（</w:t>
            </w:r>
            <w:r>
              <w:rPr>
                <w:rFonts w:ascii="微软雅黑" w:hAnsi="微软雅黑" w:eastAsia="微软雅黑" w:cs="微软雅黑"/>
                <w:kern w:val="0"/>
                <w:sz w:val="18"/>
                <w:szCs w:val="18"/>
              </w:rPr>
              <w:t>LA PERLE</w:t>
            </w:r>
            <w:r>
              <w:rPr>
                <w:rFonts w:hint="eastAsia" w:ascii="微软雅黑" w:hAnsi="微软雅黑" w:eastAsia="微软雅黑" w:cs="微软雅黑"/>
                <w:kern w:val="0"/>
                <w:sz w:val="18"/>
                <w:szCs w:val="18"/>
              </w:rPr>
              <w:t xml:space="preserve"> </w:t>
            </w:r>
            <w:r>
              <w:rPr>
                <w:rFonts w:ascii="微软雅黑" w:hAnsi="微软雅黑" w:eastAsia="微软雅黑" w:cs="微软雅黑"/>
                <w:kern w:val="0"/>
                <w:sz w:val="18"/>
                <w:szCs w:val="18"/>
              </w:rPr>
              <w:t>灯光舞蹈奇幻秀</w:t>
            </w:r>
            <w:r>
              <w:rPr>
                <w:rFonts w:hint="eastAsia" w:ascii="微软雅黑" w:hAnsi="微软雅黑" w:eastAsia="微软雅黑" w:cs="微软雅黑"/>
                <w:kern w:val="0"/>
                <w:sz w:val="18"/>
                <w:szCs w:val="18"/>
              </w:rPr>
              <w:t>）</w:t>
            </w:r>
          </w:p>
        </w:tc>
        <w:tc>
          <w:tcPr>
            <w:tcW w:w="7482" w:type="dxa"/>
            <w:noWrap w:val="0"/>
            <w:vAlign w:val="center"/>
          </w:tcPr>
          <w:p>
            <w:pPr>
              <w:spacing w:line="276"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《珍珠》由大名鼎鼎的 Franco Dragone 担任策划，堪称一场非凡的演出。在这场视觉盛筵中，65位技艺精湛的艺术家将潜入盛有200多万升水的特制“泳池舞台”中，表演惊人的特技和高空动作。《珍珠》被 Dragone 形容为他所策划的“最为震撼人心”的演出，因此绝对不容错过。地点位于阿尔哈布图尔城市中心，将成为该地区第一个永久性演出，每年举办多达450场。所有表演都在专门设计的1300座剧院内呈现，让观众产生身临其境的感觉。剧院采用高科技“水舞台”，其中注满了270万升水，并且能够根据需要从水舞台变为干燥的舞台。（约90分钟）</w:t>
            </w:r>
          </w:p>
        </w:tc>
        <w:tc>
          <w:tcPr>
            <w:tcW w:w="2004" w:type="dxa"/>
            <w:noWrap w:val="0"/>
            <w:vAlign w:val="center"/>
          </w:tcPr>
          <w:p>
            <w:pPr>
              <w:spacing w:line="276"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USD120/人</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460" w:hRule="atLeast"/>
          <w:jc w:val="center"/>
        </w:trPr>
        <w:tc>
          <w:tcPr>
            <w:tcW w:w="1406" w:type="dxa"/>
            <w:noWrap w:val="0"/>
            <w:vAlign w:val="center"/>
          </w:tcPr>
          <w:p>
            <w:pPr>
              <w:spacing w:line="276" w:lineRule="auto"/>
              <w:jc w:val="left"/>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阿布扎比总统府</w:t>
            </w:r>
          </w:p>
        </w:tc>
        <w:tc>
          <w:tcPr>
            <w:tcW w:w="7482" w:type="dxa"/>
            <w:noWrap w:val="0"/>
            <w:vAlign w:val="center"/>
          </w:tcPr>
          <w:p>
            <w:pPr>
              <w:pBdr>
                <w:bottom w:val="dotted" w:color="CCCCCC" w:sz="6" w:space="8"/>
              </w:pBdr>
              <w:spacing w:line="276"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总统府——</w:t>
            </w:r>
            <w:r>
              <w:rPr>
                <w:rFonts w:ascii="微软雅黑" w:hAnsi="微软雅黑" w:eastAsia="微软雅黑" w:cs="微软雅黑"/>
                <w:kern w:val="0"/>
                <w:sz w:val="18"/>
                <w:szCs w:val="18"/>
              </w:rPr>
              <w:t>阿布扎比奢华新地标</w:t>
            </w:r>
            <w:r>
              <w:rPr>
                <w:rFonts w:hint="eastAsia" w:ascii="微软雅黑" w:hAnsi="微软雅黑" w:eastAsia="微软雅黑" w:cs="微软雅黑"/>
                <w:kern w:val="0"/>
                <w:sz w:val="18"/>
                <w:szCs w:val="18"/>
              </w:rPr>
              <w:t>，是当今阿联酋的官方会议场所，也是正式国事访问和各国首脑活动的举办地。与生俱来的皇家气质，建筑雄伟壮丽，通体圣洁的白色，仿佛非人间所有，宫殿完美诠释着奢华与精致；游客可以在宫殿之旅中得到丰富的体验，对阿联酋的政权制度和价值理念进行深入的了解，探究保存完好的文化传统遗产。</w:t>
            </w:r>
          </w:p>
        </w:tc>
        <w:tc>
          <w:tcPr>
            <w:tcW w:w="2004" w:type="dxa"/>
            <w:noWrap w:val="0"/>
            <w:vAlign w:val="center"/>
          </w:tcPr>
          <w:p>
            <w:pPr>
              <w:spacing w:line="276"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USD70/人</w:t>
            </w:r>
          </w:p>
        </w:tc>
      </w:tr>
      <w:tr>
        <w:tblPrEx>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Ex>
        <w:trPr>
          <w:trHeight w:val="2055" w:hRule="atLeast"/>
          <w:jc w:val="center"/>
        </w:trPr>
        <w:tc>
          <w:tcPr>
            <w:tcW w:w="10892" w:type="dxa"/>
            <w:gridSpan w:val="3"/>
            <w:noWrap w:val="0"/>
            <w:vAlign w:val="center"/>
          </w:tcPr>
          <w:p>
            <w:pPr>
              <w:spacing w:line="276" w:lineRule="auto"/>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自费项目说明：</w:t>
            </w:r>
          </w:p>
          <w:p>
            <w:pPr>
              <w:spacing w:line="276" w:lineRule="auto"/>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1、上述项目履行中遇不可抗力或旅行社、履行辅助人已尽合理注意义务仍不能避免的事件的，双方均有权解除，旅行社在扣除已向履行辅助人支付且不可退还的费用后，将余款退还旅游者；</w:t>
            </w:r>
          </w:p>
          <w:p>
            <w:pPr>
              <w:spacing w:line="276" w:lineRule="auto"/>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2、签署本协议前，旅行社已将自费项目的安全风险注意事项告知旅游者，旅游者应根据身体条件谨慎选择，旅游者在本协议上签字确认视为其已明确知悉相应安全风险注意事项，并自愿承受相应后果；</w:t>
            </w:r>
          </w:p>
          <w:p>
            <w:pPr>
              <w:spacing w:line="276" w:lineRule="auto"/>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3、旅游者参加本协议以外的自费项目导致人身安全和财产损失的，旅行社不承担任何责任。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A7A13"/>
    <w:rsid w:val="189A7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2020-01-17T03:26:00Z</dcterms:created>
  <dc:creator>兔斯基</dc:creator>
  <cp:lastModifiedBy>兔斯基</cp:lastModifiedBy>
  <dcterms:modified xsi:type="dcterms:W3CDTF">2020-01-17T03:28:33Z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