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pPr w:leftFromText="180" w:rightFromText="180" w:vertAnchor="text" w:horzAnchor="page" w:tblpX="669" w:tblpY="302"/>
        <w:tblOverlap w:val="never"/>
        <w:tblW w:w="11027" w:type="dxa"/>
        <w:tblInd w:w="0" w:type="dxa"/>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shd w:val="clear" w:color="auto" w:fill="E7D7FE"/>
        <w:tblLayout w:type="fixed"/>
        <w:tblCellMar>
          <w:top w:w="0" w:type="dxa"/>
          <w:left w:w="108" w:type="dxa"/>
          <w:bottom w:w="0" w:type="dxa"/>
          <w:right w:w="108" w:type="dxa"/>
        </w:tblCellMar>
      </w:tblPr>
      <w:tblGrid>
        <w:gridCol w:w="1800"/>
        <w:gridCol w:w="213"/>
        <w:gridCol w:w="3357"/>
        <w:gridCol w:w="1342"/>
        <w:gridCol w:w="391"/>
        <w:gridCol w:w="187"/>
        <w:gridCol w:w="762"/>
        <w:gridCol w:w="1310"/>
        <w:gridCol w:w="1665"/>
      </w:tblGrid>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shd w:val="clear" w:color="auto" w:fill="E7D7FE"/>
          <w:tblCellMar>
            <w:top w:w="0" w:type="dxa"/>
            <w:left w:w="108" w:type="dxa"/>
            <w:bottom w:w="0" w:type="dxa"/>
            <w:right w:w="108" w:type="dxa"/>
          </w:tblCellMar>
        </w:tblPrEx>
        <w:trPr>
          <w:trHeight w:val="317" w:hRule="atLeast"/>
        </w:trPr>
        <w:tc>
          <w:tcPr>
            <w:tcW w:w="11027" w:type="dxa"/>
            <w:gridSpan w:val="9"/>
            <w:tcBorders>
              <w:tl2br w:val="nil"/>
              <w:tr2bl w:val="nil"/>
            </w:tcBorders>
            <w:shd w:val="clear" w:color="auto" w:fill="095EE6"/>
            <w:noWrap w:val="0"/>
            <w:vAlign w:val="center"/>
          </w:tcPr>
          <w:p>
            <w:pPr>
              <w:jc w:val="center"/>
              <w:rPr>
                <w:rFonts w:hint="eastAsia" w:ascii="微软雅黑" w:hAnsi="微软雅黑" w:eastAsia="微软雅黑" w:cs="微软雅黑"/>
                <w:b/>
                <w:bCs/>
                <w:sz w:val="18"/>
                <w:szCs w:val="18"/>
              </w:rPr>
            </w:pPr>
            <w:r>
              <w:rPr>
                <w:rFonts w:ascii="微软雅黑" w:hAnsi="微软雅黑" w:eastAsia="微软雅黑" w:cs="微软雅黑"/>
                <w:b/>
                <w:bCs/>
                <w:color w:val="FFFFFF"/>
                <w:sz w:val="18"/>
                <w:szCs w:val="18"/>
              </w:rPr>
              <w:t>1</w:t>
            </w:r>
            <w:r>
              <w:rPr>
                <w:rFonts w:hint="eastAsia" w:ascii="微软雅黑" w:hAnsi="微软雅黑" w:eastAsia="微软雅黑" w:cs="微软雅黑"/>
                <w:b/>
                <w:bCs/>
                <w:color w:val="FFFFFF"/>
                <w:sz w:val="18"/>
                <w:szCs w:val="18"/>
              </w:rPr>
              <w:t>.</w:t>
            </w:r>
            <w:bookmarkStart w:id="0" w:name="_GoBack"/>
            <w:r>
              <w:rPr>
                <w:rFonts w:hint="eastAsia" w:ascii="微软雅黑" w:hAnsi="微软雅黑" w:eastAsia="微软雅黑" w:cs="微软雅黑"/>
                <w:b/>
                <w:bCs/>
                <w:color w:val="FFFFFF"/>
                <w:sz w:val="18"/>
                <w:szCs w:val="18"/>
              </w:rPr>
              <w:t>自费项目报名补充协议</w:t>
            </w:r>
            <w:bookmarkEnd w:id="0"/>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甲方（旅行社）</w:t>
            </w:r>
          </w:p>
        </w:tc>
        <w:tc>
          <w:tcPr>
            <w:tcW w:w="3570" w:type="dxa"/>
            <w:gridSpan w:val="2"/>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p>
        </w:tc>
        <w:tc>
          <w:tcPr>
            <w:tcW w:w="1920" w:type="dxa"/>
            <w:gridSpan w:val="3"/>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乙方（旅游者）</w:t>
            </w:r>
          </w:p>
        </w:tc>
        <w:tc>
          <w:tcPr>
            <w:tcW w:w="3737" w:type="dxa"/>
            <w:gridSpan w:val="3"/>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1730" w:hRule="atLeast"/>
        </w:trPr>
        <w:tc>
          <w:tcPr>
            <w:tcW w:w="11027" w:type="dxa"/>
            <w:gridSpan w:val="9"/>
            <w:tcBorders>
              <w:tl2br w:val="nil"/>
              <w:tr2bl w:val="nil"/>
            </w:tcBorders>
            <w:shd w:val="clear" w:color="auto" w:fill="CDE0FD"/>
            <w:noWrap w:val="0"/>
            <w:vAlign w:val="center"/>
          </w:tcPr>
          <w:p>
            <w:pPr>
              <w:shd w:val="clear" w:color="auto" w:fill="CDE0FD"/>
              <w:rPr>
                <w:rFonts w:hint="eastAsia" w:ascii="微软雅黑" w:hAnsi="微软雅黑" w:eastAsia="微软雅黑" w:cs="微软雅黑"/>
                <w:sz w:val="18"/>
                <w:szCs w:val="18"/>
              </w:rPr>
            </w:pPr>
            <w:r>
              <w:rPr>
                <w:rFonts w:hint="eastAsia" w:ascii="微软雅黑" w:hAnsi="微软雅黑" w:eastAsia="微软雅黑" w:cs="微软雅黑"/>
                <w:sz w:val="18"/>
                <w:szCs w:val="18"/>
              </w:rPr>
              <w:t>为丰富旅游者的娱乐活动及满足不同旅行社的需求，旅行社在不影响正常旅程行程安排的前提下，旅行社提供自费景点（娱乐）项目供旅游者自行选择参加与否。根据《旅游法》第35条规定“旅行社安排另行付费旅游项目需是应旅游者要求或经双方协商一致且不影响其他旅客的行程安排”，因此在本次旅行过程，</w:t>
            </w:r>
          </w:p>
          <w:p>
            <w:pPr>
              <w:shd w:val="clear" w:color="auto" w:fill="CDE0FD"/>
              <w:rPr>
                <w:rFonts w:hint="eastAsia" w:ascii="微软雅黑" w:hAnsi="微软雅黑" w:eastAsia="微软雅黑" w:cs="微软雅黑"/>
                <w:sz w:val="18"/>
                <w:szCs w:val="18"/>
              </w:rPr>
            </w:pPr>
            <w:r>
              <w:rPr>
                <w:rFonts w:hint="eastAsia" w:ascii="微软雅黑" w:hAnsi="微软雅黑" w:eastAsia="微软雅黑" w:cs="微软雅黑"/>
                <w:sz w:val="18"/>
                <w:szCs w:val="18"/>
              </w:rPr>
              <w:t>旅行社应旅游者（乙方）要求并经双方协商一致，</w:t>
            </w:r>
          </w:p>
          <w:p>
            <w:pPr>
              <w:shd w:val="clear" w:color="auto" w:fill="CDE0FD"/>
              <w:rPr>
                <w:rFonts w:hint="eastAsia" w:ascii="微软雅黑" w:hAnsi="微软雅黑" w:eastAsia="微软雅黑" w:cs="微软雅黑"/>
                <w:b/>
                <w:bCs/>
                <w:color w:val="014592"/>
                <w:sz w:val="18"/>
                <w:szCs w:val="18"/>
              </w:rPr>
            </w:pPr>
            <w:r>
              <w:rPr>
                <w:rFonts w:hint="eastAsia" w:ascii="微软雅黑" w:hAnsi="微软雅黑" w:eastAsia="微软雅黑" w:cs="微软雅黑"/>
                <w:b/>
                <w:bCs/>
                <w:color w:val="0359E2"/>
                <w:sz w:val="18"/>
                <w:szCs w:val="18"/>
              </w:rPr>
              <w:t>由甲方协助安排乙方参加自费旅游项目，双方确认签署本协议，具体自费旅游项目简述及安排如下：</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575"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lang w:val="zh-CN"/>
              </w:rPr>
            </w:pPr>
            <w:r>
              <w:rPr>
                <w:rFonts w:hint="eastAsia" w:ascii="微软雅黑" w:hAnsi="微软雅黑" w:eastAsia="微软雅黑" w:cs="微软雅黑"/>
                <w:b/>
                <w:color w:val="0359E2"/>
                <w:sz w:val="18"/>
                <w:szCs w:val="18"/>
                <w:lang w:val="zh-CN"/>
              </w:rPr>
              <w:t>项目名称</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lang w:val="zh-CN"/>
              </w:rPr>
            </w:pPr>
            <w:r>
              <w:rPr>
                <w:rFonts w:hint="eastAsia" w:ascii="宋体" w:hAnsi="宋体"/>
                <w:b/>
                <w:color w:val="0359E2"/>
                <w:kern w:val="0"/>
                <w:sz w:val="18"/>
                <w:szCs w:val="18"/>
              </w:rPr>
              <w:t>自</w:t>
            </w:r>
            <w:r>
              <w:rPr>
                <w:rFonts w:hint="eastAsia" w:ascii="微软雅黑" w:hAnsi="微软雅黑" w:eastAsia="微软雅黑" w:cs="微软雅黑"/>
                <w:b/>
                <w:color w:val="0359E2"/>
                <w:sz w:val="18"/>
                <w:szCs w:val="18"/>
                <w:lang w:val="zh-CN"/>
              </w:rPr>
              <w:t>费项目特色或内容</w:t>
            </w:r>
          </w:p>
        </w:tc>
        <w:tc>
          <w:tcPr>
            <w:tcW w:w="949" w:type="dxa"/>
            <w:gridSpan w:val="2"/>
            <w:tcBorders>
              <w:tl2br w:val="nil"/>
              <w:tr2bl w:val="nil"/>
            </w:tcBorders>
            <w:shd w:val="clear" w:color="auto" w:fill="FFFFFF"/>
            <w:noWrap w:val="0"/>
            <w:vAlign w:val="center"/>
          </w:tcPr>
          <w:p>
            <w:pPr>
              <w:jc w:val="center"/>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最低人数</w:t>
            </w:r>
          </w:p>
        </w:tc>
        <w:tc>
          <w:tcPr>
            <w:tcW w:w="1310" w:type="dxa"/>
            <w:tcBorders>
              <w:tl2br w:val="nil"/>
              <w:tr2bl w:val="nil"/>
            </w:tcBorders>
            <w:shd w:val="clear" w:color="auto" w:fill="FFFFFF"/>
            <w:noWrap w:val="0"/>
            <w:vAlign w:val="center"/>
          </w:tcPr>
          <w:p>
            <w:pPr>
              <w:jc w:val="center"/>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游玩时间</w:t>
            </w:r>
          </w:p>
        </w:tc>
        <w:tc>
          <w:tcPr>
            <w:tcW w:w="1665" w:type="dxa"/>
            <w:tcBorders>
              <w:tl2br w:val="nil"/>
              <w:tr2bl w:val="nil"/>
            </w:tcBorders>
            <w:shd w:val="clear" w:color="auto" w:fill="FFFFFF"/>
            <w:noWrap w:val="0"/>
            <w:vAlign w:val="center"/>
          </w:tcPr>
          <w:p>
            <w:pPr>
              <w:jc w:val="center"/>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价格/人</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1298" w:hRule="atLeast"/>
        </w:trPr>
        <w:tc>
          <w:tcPr>
            <w:tcW w:w="1800" w:type="dxa"/>
            <w:tcBorders>
              <w:tl2br w:val="nil"/>
              <w:tr2bl w:val="nil"/>
            </w:tcBorders>
            <w:shd w:val="clear" w:color="auto" w:fill="CDE0FD"/>
            <w:noWrap w:val="0"/>
            <w:vAlign w:val="center"/>
          </w:tcPr>
          <w:p>
            <w:pPr>
              <w:tabs>
                <w:tab w:val="center" w:pos="4153"/>
                <w:tab w:val="right" w:pos="8306"/>
              </w:tabs>
              <w:snapToGrid w:val="0"/>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沙漠冲沙</w:t>
            </w:r>
          </w:p>
        </w:tc>
        <w:tc>
          <w:tcPr>
            <w:tcW w:w="5303" w:type="dxa"/>
            <w:gridSpan w:val="4"/>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乘坐4WD越野吉普画进行冒险家游戏-冲沙，欣赏沙漠落日，进入沙漠营帐观赏中东肚皮舞与中东美女共舞。享用的阿拉伯烧烤晚餐，穿阿拉伯民族服饰拍照，品尝阿拉伯特色的水烟，绘制阿拉伯民族手绘。</w:t>
            </w:r>
          </w:p>
        </w:tc>
        <w:tc>
          <w:tcPr>
            <w:tcW w:w="949" w:type="dxa"/>
            <w:gridSpan w:val="2"/>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6人</w:t>
            </w:r>
          </w:p>
        </w:tc>
        <w:tc>
          <w:tcPr>
            <w:tcW w:w="1310" w:type="dxa"/>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约16:00-21:00</w:t>
            </w:r>
          </w:p>
        </w:tc>
        <w:tc>
          <w:tcPr>
            <w:tcW w:w="1665" w:type="dxa"/>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USD80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1298"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lang w:val="zh-CN"/>
              </w:rPr>
            </w:pPr>
            <w:r>
              <w:rPr>
                <w:rFonts w:hint="eastAsia" w:ascii="微软雅黑" w:hAnsi="微软雅黑" w:eastAsia="微软雅黑" w:cs="微软雅黑"/>
                <w:b/>
                <w:color w:val="0359E2"/>
                <w:sz w:val="18"/>
                <w:szCs w:val="18"/>
              </w:rPr>
              <w:t>哈里法塔观光</w:t>
            </w:r>
          </w:p>
        </w:tc>
        <w:tc>
          <w:tcPr>
            <w:tcW w:w="5303" w:type="dxa"/>
            <w:gridSpan w:val="4"/>
            <w:tcBorders>
              <w:tl2br w:val="nil"/>
              <w:tr2bl w:val="nil"/>
            </w:tcBorders>
            <w:shd w:val="clear" w:color="auto" w:fill="FFFFFF"/>
            <w:noWrap w:val="0"/>
            <w:vAlign w:val="top"/>
          </w:tcPr>
          <w:p>
            <w:pPr>
              <w:tabs>
                <w:tab w:val="left" w:pos="252"/>
              </w:tabs>
              <w:adjustRightInd w:val="0"/>
              <w:snapToGrid w:val="0"/>
              <w:spacing w:line="400" w:lineRule="exact"/>
              <w:ind w:right="71" w:rightChars="34"/>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登上世界第一高楼—哈利法塔，它拥有世界上四个之最：最高大楼（约合827米），层数超过160层。最高游泳池，最高清真专卖店，最多和最快的电梯，观光塔设在124层。</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无限制</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约30分钟</w:t>
            </w:r>
          </w:p>
        </w:tc>
        <w:tc>
          <w:tcPr>
            <w:tcW w:w="1665" w:type="dxa"/>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14:00-19:00PM</w:t>
            </w:r>
          </w:p>
          <w:p>
            <w:pPr>
              <w:tabs>
                <w:tab w:val="center" w:pos="4153"/>
                <w:tab w:val="right" w:pos="8306"/>
              </w:tabs>
              <w:snapToGrid w:val="0"/>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价格：100USD</w:t>
            </w:r>
          </w:p>
          <w:p>
            <w:pPr>
              <w:tabs>
                <w:tab w:val="left" w:pos="252"/>
              </w:tabs>
              <w:adjustRightInd w:val="0"/>
              <w:snapToGrid w:val="0"/>
              <w:ind w:right="71" w:rightChars="34"/>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其他时段：USD80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游艇畅游新迪拜</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在游艇码头乘坐游艇，从不同角度来审视不一样的迪拜之美，游艇驶出滨海新城，穿越高楼林立的DUBAI MARINA滨海新城，可在海上见到世界八大奇观棕榈岛，海湾上挺立着的世界为名七星级帆船酒店，最后穿过棕榈岛大桥，回到DUBAI MARINA海滨新城。</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8人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约18:00-20:00</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bCs/>
                <w:color w:val="0359E2"/>
                <w:sz w:val="18"/>
                <w:szCs w:val="18"/>
              </w:rPr>
              <w:t>USD</w:t>
            </w:r>
            <w:r>
              <w:rPr>
                <w:rFonts w:ascii="微软雅黑" w:hAnsi="微软雅黑" w:eastAsia="微软雅黑" w:cs="微软雅黑"/>
                <w:bCs/>
                <w:color w:val="0359E2"/>
                <w:sz w:val="18"/>
                <w:szCs w:val="18"/>
              </w:rPr>
              <w:t>90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迪拜</w:t>
            </w:r>
            <w:r>
              <w:rPr>
                <w:rFonts w:ascii="微软雅黑" w:hAnsi="微软雅黑" w:eastAsia="微软雅黑" w:cs="微软雅黑"/>
                <w:b/>
                <w:color w:val="0359E2"/>
                <w:sz w:val="18"/>
                <w:szCs w:val="18"/>
              </w:rPr>
              <w:t>黄金相框</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新</w:t>
            </w:r>
            <w:r>
              <w:rPr>
                <w:rFonts w:ascii="微软雅黑" w:hAnsi="微软雅黑" w:eastAsia="微软雅黑" w:cs="微软雅黑"/>
                <w:color w:val="0359E2"/>
                <w:sz w:val="18"/>
                <w:szCs w:val="18"/>
              </w:rPr>
              <w:t>晋迪拜新地标-黄金迪拜相框，</w:t>
            </w:r>
            <w:r>
              <w:rPr>
                <w:rFonts w:hint="eastAsia" w:ascii="微软雅黑" w:hAnsi="微软雅黑" w:eastAsia="微软雅黑" w:cs="微软雅黑"/>
                <w:color w:val="0359E2"/>
                <w:sz w:val="18"/>
                <w:szCs w:val="18"/>
              </w:rPr>
              <w:t>世界上最奢侈的露天大相框“迪拜之框”</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bCs/>
                <w:color w:val="0359E2"/>
                <w:sz w:val="18"/>
                <w:szCs w:val="18"/>
              </w:rPr>
            </w:pPr>
            <w:r>
              <w:rPr>
                <w:rFonts w:hint="eastAsia" w:ascii="微软雅黑" w:hAnsi="微软雅黑" w:eastAsia="微软雅黑" w:cs="微软雅黑"/>
                <w:bCs/>
                <w:color w:val="0359E2"/>
                <w:sz w:val="18"/>
                <w:szCs w:val="18"/>
              </w:rPr>
              <w:t>6人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bCs/>
                <w:color w:val="0359E2"/>
                <w:sz w:val="18"/>
                <w:szCs w:val="18"/>
              </w:rPr>
            </w:pPr>
            <w:r>
              <w:rPr>
                <w:rFonts w:hint="eastAsia" w:ascii="微软雅黑" w:hAnsi="微软雅黑" w:eastAsia="微软雅黑" w:cs="微软雅黑"/>
                <w:bCs/>
                <w:color w:val="0359E2"/>
                <w:sz w:val="18"/>
                <w:szCs w:val="18"/>
              </w:rPr>
              <w:t>约60分钟</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bCs/>
                <w:color w:val="0359E2"/>
                <w:sz w:val="18"/>
                <w:szCs w:val="18"/>
              </w:rPr>
            </w:pPr>
            <w:r>
              <w:rPr>
                <w:rFonts w:hint="eastAsia" w:ascii="微软雅黑" w:hAnsi="微软雅黑" w:eastAsia="微软雅黑" w:cs="微软雅黑"/>
                <w:bCs/>
                <w:color w:val="0359E2"/>
                <w:sz w:val="18"/>
                <w:szCs w:val="18"/>
              </w:rPr>
              <w:t>USD</w:t>
            </w:r>
            <w:r>
              <w:rPr>
                <w:rFonts w:ascii="微软雅黑" w:hAnsi="微软雅黑" w:eastAsia="微软雅黑" w:cs="微软雅黑"/>
                <w:bCs/>
                <w:color w:val="0359E2"/>
                <w:sz w:val="18"/>
                <w:szCs w:val="18"/>
              </w:rPr>
              <w:t>60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阿布扎比</w:t>
            </w:r>
            <w:r>
              <w:rPr>
                <w:rFonts w:ascii="微软雅黑" w:hAnsi="微软雅黑" w:eastAsia="微软雅黑" w:cs="微软雅黑"/>
                <w:b/>
                <w:color w:val="0359E2"/>
                <w:sz w:val="18"/>
                <w:szCs w:val="18"/>
              </w:rPr>
              <w:t>总统府</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阿布扎比总统府，是阿联酋最高统治者居住、办公的地方，进入正厅，仿佛进入了一个流光溢彩的梦境，宫殿完美诠释这奢华与精致，国宴厅更是让你一秒穿越到中东贵族世界，更有深藏不露的国家宝藏博物馆。</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bCs/>
                <w:color w:val="0359E2"/>
                <w:sz w:val="18"/>
                <w:szCs w:val="18"/>
              </w:rPr>
            </w:pPr>
            <w:r>
              <w:rPr>
                <w:rFonts w:hint="eastAsia" w:ascii="微软雅黑" w:hAnsi="微软雅黑" w:eastAsia="微软雅黑" w:cs="微软雅黑"/>
                <w:bCs/>
                <w:color w:val="0359E2"/>
                <w:sz w:val="18"/>
                <w:szCs w:val="18"/>
              </w:rPr>
              <w:t>6人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bCs/>
                <w:color w:val="0359E2"/>
                <w:sz w:val="18"/>
                <w:szCs w:val="18"/>
              </w:rPr>
            </w:pPr>
            <w:r>
              <w:rPr>
                <w:rFonts w:hint="eastAsia" w:ascii="微软雅黑" w:hAnsi="微软雅黑" w:eastAsia="微软雅黑" w:cs="微软雅黑"/>
                <w:bCs/>
                <w:color w:val="0359E2"/>
                <w:sz w:val="18"/>
                <w:szCs w:val="18"/>
              </w:rPr>
              <w:t>约60分钟</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bCs/>
                <w:color w:val="0359E2"/>
                <w:sz w:val="18"/>
                <w:szCs w:val="18"/>
              </w:rPr>
            </w:pPr>
            <w:r>
              <w:rPr>
                <w:rFonts w:hint="eastAsia" w:ascii="微软雅黑" w:hAnsi="微软雅黑" w:eastAsia="微软雅黑" w:cs="微软雅黑"/>
                <w:bCs/>
                <w:color w:val="0359E2"/>
                <w:sz w:val="18"/>
                <w:szCs w:val="18"/>
              </w:rPr>
              <w:t>USD</w:t>
            </w:r>
            <w:r>
              <w:rPr>
                <w:rFonts w:ascii="微软雅黑" w:hAnsi="微软雅黑" w:eastAsia="微软雅黑" w:cs="微软雅黑"/>
                <w:bCs/>
                <w:color w:val="0359E2"/>
                <w:sz w:val="18"/>
                <w:szCs w:val="18"/>
              </w:rPr>
              <w:t>80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阿布扎比</w:t>
            </w:r>
            <w:r>
              <w:rPr>
                <w:rFonts w:ascii="微软雅黑" w:hAnsi="微软雅黑" w:eastAsia="微软雅黑" w:cs="微软雅黑"/>
                <w:b/>
                <w:color w:val="0359E2"/>
                <w:sz w:val="18"/>
                <w:szCs w:val="18"/>
              </w:rPr>
              <w:t>卢浮宫</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color w:val="0359E2"/>
                <w:sz w:val="18"/>
                <w:szCs w:val="18"/>
              </w:rPr>
            </w:pPr>
            <w:r>
              <w:rPr>
                <w:rFonts w:ascii="微软雅黑" w:hAnsi="微软雅黑" w:eastAsia="微软雅黑" w:cs="微软雅黑"/>
                <w:color w:val="0359E2"/>
                <w:sz w:val="18"/>
                <w:szCs w:val="18"/>
              </w:rPr>
              <w:t>阿布扎比卢浮宫是阿拉伯世界首个综合性博物馆，专注于展示世界各地文明和文化共同的人类故事。博物馆将展出来自法国顶级博物馆的艺术作品、文物和出借藏品在内的重要艺术藏品。</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bCs/>
                <w:color w:val="0359E2"/>
                <w:sz w:val="18"/>
                <w:szCs w:val="18"/>
              </w:rPr>
            </w:pPr>
            <w:r>
              <w:rPr>
                <w:rFonts w:hint="eastAsia" w:ascii="微软雅黑" w:hAnsi="微软雅黑" w:eastAsia="微软雅黑" w:cs="微软雅黑"/>
                <w:bCs/>
                <w:color w:val="0359E2"/>
                <w:sz w:val="18"/>
                <w:szCs w:val="18"/>
              </w:rPr>
              <w:t>6人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bCs/>
                <w:color w:val="0359E2"/>
                <w:sz w:val="18"/>
                <w:szCs w:val="18"/>
              </w:rPr>
            </w:pPr>
            <w:r>
              <w:rPr>
                <w:rFonts w:hint="eastAsia" w:ascii="微软雅黑" w:hAnsi="微软雅黑" w:eastAsia="微软雅黑" w:cs="微软雅黑"/>
                <w:bCs/>
                <w:color w:val="0359E2"/>
                <w:sz w:val="18"/>
                <w:szCs w:val="18"/>
              </w:rPr>
              <w:t>约60分钟</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bCs/>
                <w:color w:val="0359E2"/>
                <w:sz w:val="18"/>
                <w:szCs w:val="18"/>
              </w:rPr>
            </w:pPr>
            <w:r>
              <w:rPr>
                <w:rFonts w:hint="eastAsia" w:ascii="微软雅黑" w:hAnsi="微软雅黑" w:eastAsia="微软雅黑" w:cs="微软雅黑"/>
                <w:bCs/>
                <w:color w:val="0359E2"/>
                <w:sz w:val="18"/>
                <w:szCs w:val="18"/>
              </w:rPr>
              <w:t>USD</w:t>
            </w:r>
            <w:r>
              <w:rPr>
                <w:rFonts w:ascii="微软雅黑" w:hAnsi="微软雅黑" w:eastAsia="微软雅黑" w:cs="微软雅黑"/>
                <w:bCs/>
                <w:color w:val="0359E2"/>
                <w:sz w:val="18"/>
                <w:szCs w:val="18"/>
              </w:rPr>
              <w:t>60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八星皇宫下午茶</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特别安排入内参观被誉为世界最豪华之-八星皇宫酒店享，一睹其奢华。另外安排茶餐厅下午茶,包含一杯茶或者一杯咖啡+一块甜点。</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bCs/>
                <w:color w:val="0359E2"/>
                <w:sz w:val="18"/>
                <w:szCs w:val="18"/>
              </w:rPr>
              <w:t>6人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bCs/>
                <w:color w:val="0359E2"/>
                <w:sz w:val="18"/>
                <w:szCs w:val="18"/>
              </w:rPr>
              <w:t>约2</w:t>
            </w:r>
            <w:r>
              <w:rPr>
                <w:rFonts w:hint="eastAsia" w:ascii="微软雅黑" w:hAnsi="微软雅黑" w:eastAsia="微软雅黑" w:cs="微软雅黑"/>
                <w:bCs/>
                <w:color w:val="0359E2"/>
                <w:sz w:val="18"/>
                <w:szCs w:val="18"/>
                <w:lang w:val="zh-CN"/>
              </w:rPr>
              <w:t>小时</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bCs/>
                <w:color w:val="0359E2"/>
                <w:sz w:val="18"/>
                <w:szCs w:val="18"/>
              </w:rPr>
              <w:t>USD</w:t>
            </w:r>
            <w:r>
              <w:rPr>
                <w:rFonts w:ascii="微软雅黑" w:hAnsi="微软雅黑" w:eastAsia="微软雅黑" w:cs="微软雅黑"/>
                <w:bCs/>
                <w:color w:val="0359E2"/>
                <w:sz w:val="18"/>
                <w:szCs w:val="18"/>
              </w:rPr>
              <w:t>90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1475"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八星皇宫酒店自助餐</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前往八星皇宫酒店享用自助餐（不含酒水），同时可以参观酒店内的公共区域。（参观皇宫酒店必须要有预定方能进入酒店），具体用餐时间段需以预定到的时间为准。</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bCs/>
                <w:color w:val="0359E2"/>
                <w:sz w:val="18"/>
                <w:szCs w:val="18"/>
              </w:rPr>
              <w:t>6人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bCs/>
                <w:color w:val="0359E2"/>
                <w:sz w:val="18"/>
                <w:szCs w:val="18"/>
              </w:rPr>
              <w:t>约90分钟</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午餐USD135</w:t>
            </w:r>
          </w:p>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晚餐USD145</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1251"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七星级帆船自助餐</w:t>
            </w:r>
          </w:p>
        </w:tc>
        <w:tc>
          <w:tcPr>
            <w:tcW w:w="5303" w:type="dxa"/>
            <w:gridSpan w:val="4"/>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前往七星帆船酒店享用自助餐（不含酒水），同事可以参观酒店内的公共区域。（参观帆船酒店必须有预定方能进入酒店）</w:t>
            </w:r>
          </w:p>
          <w:p>
            <w:pPr>
              <w:tabs>
                <w:tab w:val="center" w:pos="4153"/>
                <w:tab w:val="right" w:pos="8306"/>
              </w:tabs>
              <w:snapToGrid w:val="0"/>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着装要求：男士需穿正装（有领有袖），女士不能穿着吊带及短裙，不能穿拖鞋、球鞋、牛仔裤入内！</w:t>
            </w:r>
          </w:p>
          <w:p>
            <w:pPr>
              <w:tabs>
                <w:tab w:val="left" w:pos="252"/>
              </w:tabs>
              <w:adjustRightInd w:val="0"/>
              <w:snapToGrid w:val="0"/>
              <w:spacing w:line="400" w:lineRule="exact"/>
              <w:ind w:right="71" w:rightChars="34"/>
              <w:rPr>
                <w:rFonts w:hint="eastAsia" w:ascii="微软雅黑" w:hAnsi="微软雅黑" w:eastAsia="微软雅黑" w:cs="微软雅黑"/>
                <w:bCs/>
                <w:color w:val="0359E2"/>
                <w:sz w:val="18"/>
                <w:szCs w:val="18"/>
              </w:rPr>
            </w:pPr>
            <w:r>
              <w:rPr>
                <w:rFonts w:hint="eastAsia" w:ascii="微软雅黑" w:hAnsi="微软雅黑" w:eastAsia="微软雅黑" w:cs="微软雅黑"/>
                <w:color w:val="0359E2"/>
                <w:sz w:val="18"/>
                <w:szCs w:val="18"/>
              </w:rPr>
              <w:t>具体用餐时间段需以预定到的时间为准</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bCs/>
                <w:color w:val="0359E2"/>
                <w:sz w:val="18"/>
                <w:szCs w:val="18"/>
              </w:rPr>
              <w:t>6人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约60分钟</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早餐USD140</w:t>
            </w:r>
          </w:p>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午餐USD180</w:t>
            </w:r>
          </w:p>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晚餐USD195</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center" w:pos="4153"/>
                <w:tab w:val="right" w:pos="8306"/>
              </w:tabs>
              <w:snapToGrid w:val="0"/>
              <w:jc w:val="left"/>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六星亚特兰蒂斯</w:t>
            </w:r>
          </w:p>
          <w:p>
            <w:pPr>
              <w:tabs>
                <w:tab w:val="left" w:pos="252"/>
              </w:tabs>
              <w:adjustRightInd w:val="0"/>
              <w:snapToGrid w:val="0"/>
              <w:spacing w:line="400" w:lineRule="exact"/>
              <w:ind w:right="71" w:rightChars="34"/>
              <w:jc w:val="left"/>
              <w:rPr>
                <w:rFonts w:hint="eastAsia"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酒店自助餐</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前往位于世界八大奇观棕榈岛上的六星亚特兰蒂斯酒店享用自助餐（不含酒水），该酒店以传说中拥有高度文明的古国亚特兰蒂斯为主题设计建造，同时可以参观酒店内的公共区域。（参观亚特兰蒂斯酒店必须有预定方能进入酒店正门），具体用餐时间段需以预定到的时间为准。</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6人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约60分钟</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午餐USD100</w:t>
            </w:r>
          </w:p>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晚餐USD110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center" w:pos="4153"/>
                <w:tab w:val="right" w:pos="8306"/>
              </w:tabs>
              <w:snapToGrid w:val="0"/>
              <w:jc w:val="left"/>
              <w:rPr>
                <w:rFonts w:ascii="微软雅黑" w:hAnsi="微软雅黑" w:eastAsia="微软雅黑" w:cs="微软雅黑"/>
                <w:b/>
                <w:color w:val="0359E2"/>
                <w:sz w:val="18"/>
                <w:szCs w:val="18"/>
              </w:rPr>
            </w:pPr>
            <w:r>
              <w:rPr>
                <w:rFonts w:hint="eastAsia" w:ascii="微软雅黑" w:hAnsi="微软雅黑" w:eastAsia="微软雅黑" w:cs="微软雅黑"/>
                <w:b/>
                <w:color w:val="0359E2"/>
                <w:sz w:val="18"/>
                <w:szCs w:val="18"/>
              </w:rPr>
              <w:t>阿玛尼酒店自助午餐</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这是一家优雅的餐馆，也足够休闲，非常适合在迪拜购物中心 (The Dubai Mall) 购物后享用一顿早餐或晚餐，也可在此欣赏迪拜市中心 (Downtown Dubai) 的美景，更能欣赏到号称世界最高音乐喷泉，最高可到150米高，叹为观止！餐馆采用传统的地中海配料，提供一系列诱人的经典美食，包括新鲜沙拉、蔬菜、海鲜与肉类烧烤。</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6人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月60分钟</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USD100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迪拜水舞间</w:t>
            </w:r>
          </w:p>
        </w:tc>
        <w:tc>
          <w:tcPr>
            <w:tcW w:w="5303" w:type="dxa"/>
            <w:gridSpan w:val="4"/>
            <w:tcBorders>
              <w:tl2br w:val="nil"/>
              <w:tr2bl w:val="nil"/>
            </w:tcBorders>
            <w:shd w:val="clear" w:color="auto" w:fill="FFFFFF"/>
            <w:noWrap w:val="0"/>
            <w:vAlign w:val="center"/>
          </w:tcPr>
          <w:p>
            <w:pPr>
              <w:tabs>
                <w:tab w:val="left" w:pos="252"/>
              </w:tabs>
              <w:adjustRightInd w:val="0"/>
              <w:snapToGrid w:val="0"/>
              <w:spacing w:line="400" w:lineRule="exact"/>
              <w:ind w:right="71" w:rightChars="34"/>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【迪拜水舞间】65位艺术家、90分钟、14排座位、270度舞台，一场无以伦比的视听体验节目。筹划5年、总投资超过2亿美金，La Perle是一场包含了跳水、高空杂技、舞蹈、场景剧等的综合表演，由拉斯维加斯《新的一天》、澳门”水舞间“的比利时籍意大利导演Franco Dragone总指导和设计，在迪拜再次刷新他的艺术记录，一部恢弘的水与杂技综合巨幕表演。这是继拉斯维加斯和澳门之后第三个剧院。 “水舞间”已成为游迪拜的必看节目之一，深受游客欢迎。</w:t>
            </w:r>
          </w:p>
        </w:tc>
        <w:tc>
          <w:tcPr>
            <w:tcW w:w="949" w:type="dxa"/>
            <w:gridSpan w:val="2"/>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6人</w:t>
            </w:r>
          </w:p>
        </w:tc>
        <w:tc>
          <w:tcPr>
            <w:tcW w:w="1310" w:type="dxa"/>
            <w:tcBorders>
              <w:tl2br w:val="nil"/>
              <w:tr2bl w:val="nil"/>
            </w:tcBorders>
            <w:shd w:val="clear" w:color="auto" w:fill="FFFFFF"/>
            <w:noWrap w:val="0"/>
            <w:vAlign w:val="top"/>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约90分钟</w:t>
            </w:r>
          </w:p>
        </w:tc>
        <w:tc>
          <w:tcPr>
            <w:tcW w:w="1665" w:type="dxa"/>
            <w:tcBorders>
              <w:tl2br w:val="nil"/>
              <w:tr2bl w:val="nil"/>
            </w:tcBorders>
            <w:shd w:val="clear" w:color="auto" w:fill="FFFFFF"/>
            <w:noWrap w:val="0"/>
            <w:vAlign w:val="center"/>
          </w:tcPr>
          <w:p>
            <w:pPr>
              <w:tabs>
                <w:tab w:val="left" w:pos="252"/>
              </w:tabs>
              <w:adjustRightInd w:val="0"/>
              <w:snapToGrid w:val="0"/>
              <w:spacing w:line="400" w:lineRule="exact"/>
              <w:ind w:right="71" w:rightChars="34"/>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USD100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1395" w:hRule="atLeast"/>
        </w:trPr>
        <w:tc>
          <w:tcPr>
            <w:tcW w:w="1800" w:type="dxa"/>
            <w:tcBorders>
              <w:tl2br w:val="nil"/>
              <w:tr2bl w:val="nil"/>
            </w:tcBorders>
            <w:shd w:val="clear" w:color="auto" w:fill="CDE0FD"/>
            <w:noWrap w:val="0"/>
            <w:vAlign w:val="center"/>
          </w:tcPr>
          <w:p>
            <w:pPr>
              <w:tabs>
                <w:tab w:val="center" w:pos="4153"/>
                <w:tab w:val="right" w:pos="8306"/>
              </w:tabs>
              <w:snapToGrid w:val="0"/>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迪拜乐高乐园</w:t>
            </w:r>
          </w:p>
        </w:tc>
        <w:tc>
          <w:tcPr>
            <w:tcW w:w="5303" w:type="dxa"/>
            <w:gridSpan w:val="4"/>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迪拜乐高乐园和乐高水上乐园是坐落于中东地区最大的主题乐园，主要面向有2-12岁小朋友的家庭。乐高营造了一个独特及安全的游乐环境，在乐园中，小朋友们才是真正的英雄，家长和小朋友们通过有趣的方式来一起学习、体验乐高的众多产品。</w:t>
            </w:r>
          </w:p>
        </w:tc>
        <w:tc>
          <w:tcPr>
            <w:tcW w:w="949" w:type="dxa"/>
            <w:gridSpan w:val="2"/>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6人</w:t>
            </w:r>
          </w:p>
        </w:tc>
        <w:tc>
          <w:tcPr>
            <w:tcW w:w="1310"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约3小时</w:t>
            </w:r>
          </w:p>
        </w:tc>
        <w:tc>
          <w:tcPr>
            <w:tcW w:w="1665"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USD120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1555" w:hRule="atLeast"/>
        </w:trPr>
        <w:tc>
          <w:tcPr>
            <w:tcW w:w="1800" w:type="dxa"/>
            <w:tcBorders>
              <w:tl2br w:val="nil"/>
              <w:tr2bl w:val="nil"/>
            </w:tcBorders>
            <w:shd w:val="clear" w:color="auto" w:fill="CDE0FD"/>
            <w:noWrap w:val="0"/>
            <w:vAlign w:val="center"/>
          </w:tcPr>
          <w:p>
            <w:pPr>
              <w:tabs>
                <w:tab w:val="center" w:pos="4153"/>
                <w:tab w:val="right" w:pos="8306"/>
              </w:tabs>
              <w:snapToGrid w:val="0"/>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迪拜宝莱坞乐园</w:t>
            </w:r>
          </w:p>
        </w:tc>
        <w:tc>
          <w:tcPr>
            <w:tcW w:w="5303" w:type="dxa"/>
            <w:gridSpan w:val="4"/>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迪拜宝莱坞乐园是全球第一家也是唯一以宝莱坞电影为主题的乐园，拉杰玛哈尔剧院是中东地区首座百老汇式的宝莱坞剧院。6万平方英尺的剧院不仅是迪拜宝莱坞乐园™的核心与灵魂，同时也是当地的标致性建筑物，有着皇家广场上的“皇冠明珠”之美誉。</w:t>
            </w:r>
          </w:p>
        </w:tc>
        <w:tc>
          <w:tcPr>
            <w:tcW w:w="949" w:type="dxa"/>
            <w:gridSpan w:val="2"/>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6人</w:t>
            </w:r>
          </w:p>
        </w:tc>
        <w:tc>
          <w:tcPr>
            <w:tcW w:w="1310"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约3小时</w:t>
            </w:r>
          </w:p>
        </w:tc>
        <w:tc>
          <w:tcPr>
            <w:tcW w:w="1665"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USD120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center" w:pos="4153"/>
                <w:tab w:val="right" w:pos="8306"/>
              </w:tabs>
              <w:snapToGrid w:val="0"/>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迪拜动漫之门</w:t>
            </w:r>
          </w:p>
        </w:tc>
        <w:tc>
          <w:tcPr>
            <w:tcW w:w="5303" w:type="dxa"/>
            <w:gridSpan w:val="4"/>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迪拜动漫之门是本地区最大的好莱坞灵感主题公园，带有灵感来自于13部超级大片的27处核心娱乐设施和景点，15处现场娱乐体验。在这里扮演自己喜欢的角色，重温好莱坞景点的美好</w:t>
            </w:r>
          </w:p>
        </w:tc>
        <w:tc>
          <w:tcPr>
            <w:tcW w:w="949" w:type="dxa"/>
            <w:gridSpan w:val="2"/>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6人</w:t>
            </w:r>
          </w:p>
        </w:tc>
        <w:tc>
          <w:tcPr>
            <w:tcW w:w="1310"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约3小时</w:t>
            </w:r>
          </w:p>
        </w:tc>
        <w:tc>
          <w:tcPr>
            <w:tcW w:w="1665"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USD130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408" w:hRule="atLeast"/>
        </w:trPr>
        <w:tc>
          <w:tcPr>
            <w:tcW w:w="1800" w:type="dxa"/>
            <w:tcBorders>
              <w:tl2br w:val="nil"/>
              <w:tr2bl w:val="nil"/>
            </w:tcBorders>
            <w:shd w:val="clear" w:color="auto" w:fill="CDE0FD"/>
            <w:noWrap w:val="0"/>
            <w:vAlign w:val="center"/>
          </w:tcPr>
          <w:p>
            <w:pPr>
              <w:tabs>
                <w:tab w:val="center" w:pos="4153"/>
                <w:tab w:val="right" w:pos="8306"/>
              </w:tabs>
              <w:snapToGrid w:val="0"/>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迪拜乐园</w:t>
            </w:r>
          </w:p>
        </w:tc>
        <w:tc>
          <w:tcPr>
            <w:tcW w:w="5303" w:type="dxa"/>
            <w:gridSpan w:val="4"/>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套票包含：乐高乐园，宝莱坞乐园，动漫之门三园门票</w:t>
            </w:r>
          </w:p>
        </w:tc>
        <w:tc>
          <w:tcPr>
            <w:tcW w:w="949" w:type="dxa"/>
            <w:gridSpan w:val="2"/>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6人</w:t>
            </w:r>
          </w:p>
        </w:tc>
        <w:tc>
          <w:tcPr>
            <w:tcW w:w="1310"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约8小时</w:t>
            </w:r>
          </w:p>
        </w:tc>
        <w:tc>
          <w:tcPr>
            <w:tcW w:w="1665"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USD200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center" w:pos="4153"/>
                <w:tab w:val="right" w:pos="8306"/>
              </w:tabs>
              <w:snapToGrid w:val="0"/>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水上飞机</w:t>
            </w:r>
          </w:p>
        </w:tc>
        <w:tc>
          <w:tcPr>
            <w:tcW w:w="5303" w:type="dxa"/>
            <w:gridSpan w:val="4"/>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像富豪名流一样，乘坐水上飞机在天上环游一番，探索迪拜市区和它所有迷人的景点，飞越明星汇聚的棕榈岛见证整个世界岛的发展，而且您还可以看到迪拜所有的标志性建筑物以及迪拜举世闻名的天际线。</w:t>
            </w:r>
          </w:p>
        </w:tc>
        <w:tc>
          <w:tcPr>
            <w:tcW w:w="949" w:type="dxa"/>
            <w:gridSpan w:val="2"/>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无限制</w:t>
            </w:r>
          </w:p>
        </w:tc>
        <w:tc>
          <w:tcPr>
            <w:tcW w:w="1310"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约20分钟</w:t>
            </w:r>
          </w:p>
        </w:tc>
        <w:tc>
          <w:tcPr>
            <w:tcW w:w="1665"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USD180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1800" w:type="dxa"/>
            <w:tcBorders>
              <w:tl2br w:val="nil"/>
              <w:tr2bl w:val="nil"/>
            </w:tcBorders>
            <w:shd w:val="clear" w:color="auto" w:fill="CDE0FD"/>
            <w:noWrap w:val="0"/>
            <w:vAlign w:val="center"/>
          </w:tcPr>
          <w:p>
            <w:pPr>
              <w:tabs>
                <w:tab w:val="center" w:pos="4153"/>
                <w:tab w:val="right" w:pos="8306"/>
              </w:tabs>
              <w:snapToGrid w:val="0"/>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法拉利公园</w:t>
            </w:r>
          </w:p>
        </w:tc>
        <w:tc>
          <w:tcPr>
            <w:tcW w:w="5303" w:type="dxa"/>
            <w:gridSpan w:val="4"/>
            <w:tcBorders>
              <w:tl2br w:val="nil"/>
              <w:tr2bl w:val="nil"/>
            </w:tcBorders>
            <w:shd w:val="clear" w:color="auto" w:fill="FFFFFF"/>
            <w:noWrap w:val="0"/>
            <w:vAlign w:val="center"/>
          </w:tcPr>
          <w:p>
            <w:pPr>
              <w:tabs>
                <w:tab w:val="center" w:pos="4153"/>
                <w:tab w:val="right" w:pos="8306"/>
              </w:tabs>
              <w:snapToGrid w:val="0"/>
              <w:rPr>
                <w:rFonts w:hint="eastAsia" w:ascii="微软雅黑" w:hAnsi="微软雅黑" w:eastAsia="微软雅黑" w:cs="微软雅黑"/>
                <w:bCs/>
                <w:color w:val="0359E2"/>
                <w:sz w:val="18"/>
                <w:szCs w:val="18"/>
                <w:lang w:val="zh-CN"/>
              </w:rPr>
            </w:pPr>
            <w:r>
              <w:rPr>
                <w:rFonts w:hint="eastAsia" w:ascii="微软雅黑" w:hAnsi="微软雅黑" w:eastAsia="微软雅黑" w:cs="微软雅黑"/>
                <w:color w:val="0359E2"/>
                <w:sz w:val="18"/>
                <w:szCs w:val="18"/>
              </w:rPr>
              <w:t>全球首个法拉利主题公园、全球最大的室内主题公园。主题公园占地20万平方米，整个屋顶是红色的法拉利标志，建有20多个游乐设施和精彩项目， 这里所展示的全球最先进的精彩项目之中，包含了在魔力速度（SpeedofMagic）中探险“Nello”梦幻之旅，游客将在淘气赛车手的带领下，穿越深绿的丛林、冰封的洞穴和峡谷，体验新奇的4D历险。游客还可以乘坐世界上最快的过山车--罗莎方程式赛车，在五秒内加速到240公里/小时。</w:t>
            </w:r>
          </w:p>
        </w:tc>
        <w:tc>
          <w:tcPr>
            <w:tcW w:w="949" w:type="dxa"/>
            <w:gridSpan w:val="2"/>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6人</w:t>
            </w:r>
          </w:p>
        </w:tc>
        <w:tc>
          <w:tcPr>
            <w:tcW w:w="1310"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约4小时</w:t>
            </w:r>
          </w:p>
        </w:tc>
        <w:tc>
          <w:tcPr>
            <w:tcW w:w="1665" w:type="dxa"/>
            <w:tcBorders>
              <w:tl2br w:val="nil"/>
              <w:tr2bl w:val="nil"/>
            </w:tcBorders>
            <w:shd w:val="clear" w:color="auto" w:fill="FFFFFF"/>
            <w:noWrap w:val="0"/>
            <w:vAlign w:val="center"/>
          </w:tcPr>
          <w:p>
            <w:pPr>
              <w:tabs>
                <w:tab w:val="center" w:pos="4153"/>
                <w:tab w:val="right" w:pos="8306"/>
              </w:tabs>
              <w:snapToGrid w:val="0"/>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USD1</w:t>
            </w:r>
            <w:r>
              <w:rPr>
                <w:rFonts w:ascii="微软雅黑" w:hAnsi="微软雅黑" w:eastAsia="微软雅黑" w:cs="微软雅黑"/>
                <w:color w:val="0359E2"/>
                <w:sz w:val="18"/>
                <w:szCs w:val="18"/>
              </w:rPr>
              <w:t>2</w:t>
            </w:r>
            <w:r>
              <w:rPr>
                <w:rFonts w:hint="eastAsia" w:ascii="微软雅黑" w:hAnsi="微软雅黑" w:eastAsia="微软雅黑" w:cs="微软雅黑"/>
                <w:color w:val="0359E2"/>
                <w:sz w:val="18"/>
                <w:szCs w:val="18"/>
              </w:rPr>
              <w:t>0</w:t>
            </w: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374" w:hRule="atLeast"/>
        </w:trPr>
        <w:tc>
          <w:tcPr>
            <w:tcW w:w="2013" w:type="dxa"/>
            <w:gridSpan w:val="2"/>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甲方(旅行社)</w:t>
            </w:r>
          </w:p>
        </w:tc>
        <w:tc>
          <w:tcPr>
            <w:tcW w:w="3357" w:type="dxa"/>
            <w:tcBorders>
              <w:tl2br w:val="nil"/>
              <w:tr2bl w:val="nil"/>
            </w:tcBorders>
            <w:shd w:val="clear" w:color="auto" w:fill="FFFFFF"/>
            <w:noWrap w:val="0"/>
            <w:vAlign w:val="center"/>
          </w:tcPr>
          <w:p>
            <w:pPr>
              <w:jc w:val="center"/>
              <w:rPr>
                <w:rFonts w:hint="eastAsia" w:ascii="微软雅黑" w:hAnsi="微软雅黑" w:eastAsia="微软雅黑" w:cs="微软雅黑"/>
                <w:color w:val="0359E2"/>
                <w:sz w:val="18"/>
                <w:szCs w:val="18"/>
              </w:rPr>
            </w:pPr>
          </w:p>
        </w:tc>
        <w:tc>
          <w:tcPr>
            <w:tcW w:w="1342" w:type="dxa"/>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乙方（旅游者签名）</w:t>
            </w:r>
          </w:p>
        </w:tc>
        <w:tc>
          <w:tcPr>
            <w:tcW w:w="4315" w:type="dxa"/>
            <w:gridSpan w:val="5"/>
            <w:tcBorders>
              <w:tl2br w:val="nil"/>
              <w:tr2bl w:val="nil"/>
            </w:tcBorders>
            <w:shd w:val="clear" w:color="auto" w:fill="FFFFFF"/>
            <w:noWrap w:val="0"/>
            <w:vAlign w:val="center"/>
          </w:tcPr>
          <w:p>
            <w:pPr>
              <w:jc w:val="center"/>
              <w:rPr>
                <w:rFonts w:hint="eastAsia" w:ascii="微软雅黑" w:hAnsi="微软雅黑" w:eastAsia="微软雅黑" w:cs="微软雅黑"/>
                <w:color w:val="7030A0"/>
                <w:sz w:val="18"/>
                <w:szCs w:val="18"/>
              </w:rPr>
            </w:pP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90" w:hRule="atLeast"/>
        </w:trPr>
        <w:tc>
          <w:tcPr>
            <w:tcW w:w="2013" w:type="dxa"/>
            <w:gridSpan w:val="2"/>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电话：</w:t>
            </w:r>
          </w:p>
        </w:tc>
        <w:tc>
          <w:tcPr>
            <w:tcW w:w="3357" w:type="dxa"/>
            <w:tcBorders>
              <w:tl2br w:val="nil"/>
              <w:tr2bl w:val="nil"/>
            </w:tcBorders>
            <w:shd w:val="clear" w:color="auto" w:fill="FFFFFF"/>
            <w:noWrap w:val="0"/>
            <w:vAlign w:val="center"/>
          </w:tcPr>
          <w:p>
            <w:pPr>
              <w:jc w:val="center"/>
              <w:rPr>
                <w:rFonts w:hint="eastAsia" w:ascii="微软雅黑" w:hAnsi="微软雅黑" w:eastAsia="微软雅黑" w:cs="微软雅黑"/>
                <w:color w:val="0359E2"/>
                <w:sz w:val="18"/>
                <w:szCs w:val="18"/>
              </w:rPr>
            </w:pPr>
          </w:p>
        </w:tc>
        <w:tc>
          <w:tcPr>
            <w:tcW w:w="1342" w:type="dxa"/>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电话：</w:t>
            </w:r>
          </w:p>
        </w:tc>
        <w:tc>
          <w:tcPr>
            <w:tcW w:w="4315" w:type="dxa"/>
            <w:gridSpan w:val="5"/>
            <w:tcBorders>
              <w:tl2br w:val="nil"/>
              <w:tr2bl w:val="nil"/>
            </w:tcBorders>
            <w:shd w:val="clear" w:color="auto" w:fill="FFFFFF"/>
            <w:noWrap w:val="0"/>
            <w:vAlign w:val="center"/>
          </w:tcPr>
          <w:p>
            <w:pPr>
              <w:jc w:val="center"/>
              <w:rPr>
                <w:rFonts w:hint="eastAsia" w:ascii="微软雅黑" w:hAnsi="微软雅黑" w:eastAsia="微软雅黑" w:cs="微软雅黑"/>
                <w:color w:val="7030A0"/>
                <w:sz w:val="18"/>
                <w:szCs w:val="18"/>
              </w:rPr>
            </w:pPr>
          </w:p>
        </w:tc>
      </w:tr>
      <w:tr>
        <w:tblPrEx>
          <w:tblBorders>
            <w:top w:val="single" w:color="095EE6" w:sz="18" w:space="0"/>
            <w:left w:val="single" w:color="095EE6" w:sz="18" w:space="0"/>
            <w:bottom w:val="single" w:color="095EE6" w:sz="18" w:space="0"/>
            <w:right w:val="single" w:color="095EE6" w:sz="18" w:space="0"/>
            <w:insideH w:val="single" w:color="095EE6" w:sz="8" w:space="0"/>
            <w:insideV w:val="single" w:color="095EE6" w:sz="8" w:space="0"/>
          </w:tblBorders>
          <w:tblCellMar>
            <w:top w:w="0" w:type="dxa"/>
            <w:left w:w="108" w:type="dxa"/>
            <w:bottom w:w="0" w:type="dxa"/>
            <w:right w:w="108" w:type="dxa"/>
          </w:tblCellMar>
        </w:tblPrEx>
        <w:trPr>
          <w:trHeight w:val="374" w:hRule="atLeast"/>
        </w:trPr>
        <w:tc>
          <w:tcPr>
            <w:tcW w:w="2013" w:type="dxa"/>
            <w:gridSpan w:val="2"/>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日期：</w:t>
            </w:r>
          </w:p>
        </w:tc>
        <w:tc>
          <w:tcPr>
            <w:tcW w:w="3357" w:type="dxa"/>
            <w:tcBorders>
              <w:tl2br w:val="nil"/>
              <w:tr2bl w:val="nil"/>
            </w:tcBorders>
            <w:shd w:val="clear" w:color="auto" w:fill="FFFFFF"/>
            <w:noWrap w:val="0"/>
            <w:vAlign w:val="center"/>
          </w:tcPr>
          <w:p>
            <w:pPr>
              <w:jc w:val="center"/>
              <w:rPr>
                <w:rFonts w:hint="eastAsia" w:ascii="微软雅黑" w:hAnsi="微软雅黑" w:eastAsia="微软雅黑" w:cs="微软雅黑"/>
                <w:color w:val="0359E2"/>
                <w:sz w:val="18"/>
                <w:szCs w:val="18"/>
              </w:rPr>
            </w:pPr>
            <w:r>
              <w:rPr>
                <w:rFonts w:hint="eastAsia" w:ascii="微软雅黑" w:hAnsi="微软雅黑" w:eastAsia="微软雅黑" w:cs="微软雅黑"/>
                <w:color w:val="0359E2"/>
                <w:sz w:val="18"/>
                <w:szCs w:val="18"/>
              </w:rPr>
              <w:t xml:space="preserve">        年   月   日</w:t>
            </w:r>
          </w:p>
        </w:tc>
        <w:tc>
          <w:tcPr>
            <w:tcW w:w="1342" w:type="dxa"/>
            <w:tcBorders>
              <w:tl2br w:val="nil"/>
              <w:tr2bl w:val="nil"/>
            </w:tcBorders>
            <w:shd w:val="clear" w:color="auto" w:fill="CDE0FD"/>
            <w:noWrap w:val="0"/>
            <w:vAlign w:val="center"/>
          </w:tcPr>
          <w:p>
            <w:pPr>
              <w:jc w:val="center"/>
              <w:rPr>
                <w:rFonts w:hint="eastAsia" w:ascii="微软雅黑" w:hAnsi="微软雅黑" w:eastAsia="微软雅黑" w:cs="微软雅黑"/>
                <w:b/>
                <w:bCs/>
                <w:color w:val="0359E2"/>
                <w:sz w:val="18"/>
                <w:szCs w:val="18"/>
              </w:rPr>
            </w:pPr>
            <w:r>
              <w:rPr>
                <w:rFonts w:hint="eastAsia" w:ascii="微软雅黑" w:hAnsi="微软雅黑" w:eastAsia="微软雅黑" w:cs="微软雅黑"/>
                <w:b/>
                <w:bCs/>
                <w:color w:val="0359E2"/>
                <w:sz w:val="18"/>
                <w:szCs w:val="18"/>
              </w:rPr>
              <w:t>日期：</w:t>
            </w:r>
          </w:p>
        </w:tc>
        <w:tc>
          <w:tcPr>
            <w:tcW w:w="4315" w:type="dxa"/>
            <w:gridSpan w:val="5"/>
            <w:tcBorders>
              <w:tl2br w:val="nil"/>
              <w:tr2bl w:val="nil"/>
            </w:tcBorders>
            <w:shd w:val="clear" w:color="auto" w:fill="FFFFFF"/>
            <w:noWrap w:val="0"/>
            <w:vAlign w:val="center"/>
          </w:tcPr>
          <w:p>
            <w:pPr>
              <w:jc w:val="center"/>
              <w:rPr>
                <w:rFonts w:hint="eastAsia" w:ascii="微软雅黑" w:hAnsi="微软雅黑" w:eastAsia="微软雅黑" w:cs="微软雅黑"/>
                <w:color w:val="7030A0"/>
                <w:sz w:val="18"/>
                <w:szCs w:val="18"/>
              </w:rPr>
            </w:pPr>
            <w:r>
              <w:rPr>
                <w:rFonts w:hint="eastAsia" w:ascii="微软雅黑" w:hAnsi="微软雅黑" w:eastAsia="微软雅黑" w:cs="微软雅黑"/>
                <w:color w:val="7030A0"/>
                <w:sz w:val="18"/>
                <w:szCs w:val="18"/>
              </w:rPr>
              <w:t xml:space="preserve">        年   月   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B3106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2020-01-02T07:20:56Z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