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南宁-野人谷漂流一日游</w:t>
      </w:r>
    </w:p>
    <w:tbl>
      <w:tblPr>
        <w:tblStyle w:val="4"/>
        <w:tblW w:w="10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880"/>
        <w:gridCol w:w="9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8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行程</w:t>
            </w:r>
          </w:p>
        </w:tc>
        <w:tc>
          <w:tcPr>
            <w:tcW w:w="962" w:type="dxa"/>
          </w:tcPr>
          <w:p>
            <w:pPr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用餐</w:t>
            </w:r>
          </w:p>
        </w:tc>
        <w:tc>
          <w:tcPr>
            <w:tcW w:w="963" w:type="dxa"/>
          </w:tcPr>
          <w:p>
            <w:pPr>
              <w:jc w:val="both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天</w:t>
            </w:r>
          </w:p>
        </w:tc>
        <w:tc>
          <w:tcPr>
            <w:tcW w:w="7880" w:type="dxa"/>
          </w:tcPr>
          <w:p>
            <w:pPr>
              <w:spacing w:line="3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早上8点20分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于南湖公园4号停车场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集合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后乘车前往【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野人谷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（车程约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3个小时）。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抵达景区后，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敬请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中餐，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下午13:30开始漂流，野人谷漂流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，（建议带一套衣服、毛巾、洗浴用品换洗）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东兴野人谷漂流采用两个人一条的橡皮艇；漂流全程需要两个半小时。野人谷漂流属于溪河自助探险河流，位于北仑河的第一大支流河上，以山河雄峻、溪水湍急而闻名。一期开发漂流项目全长5.2公里；全程有32个滩，128个跌水区，2米落差3个，1.5米落差8个，让您放漂心灵之舟，体验澎湃激情，尽享探险征服之乐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行程结束后，乘车返南宁，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于南湖公园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4号停车场散团，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结束愉快的旅行！</w:t>
            </w:r>
          </w:p>
          <w:p>
            <w:pPr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2" w:type="dxa"/>
          </w:tcPr>
          <w:p>
            <w:pPr>
              <w:jc w:val="both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963" w:type="dxa"/>
          </w:tcPr>
          <w:p>
            <w:pPr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tbl>
      <w:tblPr>
        <w:tblStyle w:val="3"/>
        <w:tblW w:w="10690" w:type="dxa"/>
        <w:jc w:val="center"/>
        <w:tblBorders>
          <w:top w:val="single" w:color="7F7F7F" w:sz="8" w:space="0"/>
          <w:left w:val="single" w:color="7F7F7F" w:sz="8" w:space="0"/>
          <w:bottom w:val="single" w:color="7F7F7F" w:sz="8" w:space="0"/>
          <w:right w:val="single" w:color="7F7F7F" w:sz="8" w:space="0"/>
          <w:insideH w:val="single" w:color="7F7F7F" w:sz="8" w:space="0"/>
          <w:insideV w:val="single" w:color="7F7F7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883"/>
        <w:gridCol w:w="9801"/>
        <w:gridCol w:w="3"/>
      </w:tblGrid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00" w:hRule="atLeast"/>
          <w:jc w:val="center"/>
        </w:trPr>
        <w:tc>
          <w:tcPr>
            <w:tcW w:w="88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  <w:t>费用</w:t>
            </w:r>
          </w:p>
          <w:p>
            <w:pPr>
              <w:spacing w:line="400" w:lineRule="exact"/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  <w:t>包含</w:t>
            </w:r>
          </w:p>
        </w:tc>
        <w:tc>
          <w:tcPr>
            <w:tcW w:w="9801" w:type="dxa"/>
            <w:shd w:val="clear" w:color="auto" w:fill="FFFFFF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1、用车：旅游大巴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车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2、导游：中文导游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3、门票：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野人谷漂流门票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门票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、保险：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旅行社责任险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atLeast"/>
              <w:rPr>
                <w:rFonts w:hint="default" w:ascii="宋体" w:hAns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、其它：每人一瓶矿泉水。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00" w:hRule="atLeast"/>
          <w:jc w:val="center"/>
        </w:trPr>
        <w:tc>
          <w:tcPr>
            <w:tcW w:w="88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  <w:t>费用</w:t>
            </w:r>
          </w:p>
          <w:p>
            <w:pPr>
              <w:spacing w:line="400" w:lineRule="exact"/>
              <w:rPr>
                <w:rFonts w:hint="eastAsia" w:asci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sz w:val="24"/>
                <w:szCs w:val="24"/>
                <w:lang w:val="en-US" w:eastAsia="zh-CN"/>
              </w:rPr>
              <w:t>不含</w:t>
            </w:r>
          </w:p>
        </w:tc>
        <w:tc>
          <w:tcPr>
            <w:tcW w:w="9804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1、个人消费:行程之外自费项目或所产生的个人费用；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2、自由活动期间的餐食费和交通费、“旅游费用包含”内容以外的所有费用、自费选择的项目；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3、因交通延误、取消等意外事件或战争、罢工、自然灾害等不可抗拒力导致的额外费用；</w:t>
            </w:r>
          </w:p>
          <w:p>
            <w:pPr>
              <w:rPr>
                <w:rFonts w:hint="default" w:ascii="宋体" w:hAns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4、因旅游者违约、自身过错、自身疾病导致的人身财产损失而额外支付的费用；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00" w:hRule="atLeast"/>
          <w:jc w:val="center"/>
        </w:trPr>
        <w:tc>
          <w:tcPr>
            <w:tcW w:w="88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注意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事项</w:t>
            </w:r>
          </w:p>
        </w:tc>
        <w:tc>
          <w:tcPr>
            <w:tcW w:w="9804" w:type="dxa"/>
            <w:gridSpan w:val="2"/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、在不减少行程及景点的条件下，适当调整行程及景点游览顺序，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但先</w:t>
            </w:r>
            <w:r>
              <w:rPr>
                <w:rFonts w:hint="eastAsia"/>
                <w:sz w:val="21"/>
                <w:szCs w:val="21"/>
              </w:rPr>
              <w:t>征求游客意见并签订补充协议，请游客谅解及配合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、请将贵重物品随身携带，以免丢失。当您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上下</w:t>
            </w:r>
            <w:r>
              <w:rPr>
                <w:rFonts w:hint="eastAsia"/>
                <w:sz w:val="21"/>
                <w:szCs w:val="21"/>
              </w:rPr>
              <w:t>车时，请迅速远离车辆，不要站在车辆周围互相等候攀谈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以免发生危险。</w:t>
            </w:r>
            <w:r>
              <w:rPr>
                <w:sz w:val="21"/>
                <w:szCs w:val="21"/>
              </w:rPr>
              <w:t xml:space="preserve">                                                               </w:t>
            </w:r>
          </w:p>
          <w:p>
            <w:pPr>
              <w:spacing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、请不要私自到禁止区游览，以免发生危险。在游览过程中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“观景不走路，走路不观景”，拍照时请注意脚下安全；在游船上请注意看管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孩子</w:t>
            </w:r>
            <w:r>
              <w:rPr>
                <w:rFonts w:hint="eastAsia"/>
                <w:sz w:val="21"/>
                <w:szCs w:val="21"/>
              </w:rPr>
              <w:t>，不要随意走动，不能越过栏杆拍照等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3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、景区中不得游泳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请高度注意安全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以免造成溺水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240" w:lineRule="atLeast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、此为散客拼团，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往返均须</w:t>
            </w:r>
            <w:r>
              <w:rPr>
                <w:rFonts w:hint="eastAsia"/>
                <w:sz w:val="21"/>
                <w:szCs w:val="21"/>
              </w:rPr>
              <w:t>按时抵达集合地点，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过期不候，且</w:t>
            </w:r>
            <w:r>
              <w:rPr>
                <w:rFonts w:hint="eastAsia"/>
                <w:sz w:val="21"/>
                <w:szCs w:val="21"/>
              </w:rPr>
              <w:t>所产生的费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/>
                <w:sz w:val="21"/>
                <w:szCs w:val="21"/>
              </w:rPr>
              <w:t>需自理，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团费也无法</w:t>
            </w: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还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建议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出行着装以轻便为主并注意防滑，携带</w:t>
            </w:r>
            <w:r>
              <w:rPr>
                <w:rFonts w:hint="eastAsia"/>
                <w:sz w:val="21"/>
                <w:szCs w:val="21"/>
              </w:rPr>
              <w:t>雨伞、防晒霜、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常用</w:t>
            </w:r>
            <w:r>
              <w:rPr>
                <w:rFonts w:hint="eastAsia"/>
                <w:sz w:val="21"/>
                <w:szCs w:val="21"/>
              </w:rPr>
              <w:t>药（如胃药、保济丸、防蚊虫水等）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已详细阅读行程内容，确认此行程及遵守相关条款要求！</w:t>
      </w:r>
    </w:p>
    <w:p>
      <w:pPr>
        <w:rPr>
          <w:rFonts w:hint="eastAsia"/>
        </w:rPr>
      </w:pPr>
      <w:r>
        <w:rPr>
          <w:rFonts w:hint="eastAsia"/>
        </w:rPr>
        <w:t>地接社名称：广西光大旅游投资有限公司                     地接社联系人：梁丽明</w:t>
      </w:r>
    </w:p>
    <w:p>
      <w:r>
        <w:rPr>
          <w:rFonts w:hint="eastAsia"/>
        </w:rPr>
        <w:t>地接社地址：南宁市汇春路4号金湖大厦2楼                 地接社联系方式：18577784900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Lines="0" w:beforeAutospacing="0" w:after="0" w:afterLines="0" w:afterAutospacing="0" w:line="33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color w:val="3F3F3F"/>
          <w:sz w:val="21"/>
          <w:szCs w:val="21"/>
        </w:rPr>
      </w:pPr>
    </w:p>
    <w:p>
      <w:pPr>
        <w:jc w:val="both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85D8E"/>
    <w:rsid w:val="40D85D8E"/>
    <w:rsid w:val="4A7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海外旅游-明明</dc:creator>
  <cp:lastModifiedBy> 兰</cp:lastModifiedBy>
  <dcterms:modified xsi:type="dcterms:W3CDTF">2020-06-04T11:47:16Z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