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26DD0ED">
      <w:pPr>
        <w:spacing w:line="16793" w:lineRule="exact"/>
        <w:rPr>
          <w:rFonts w:hint="eastAsia" w:eastAsia="宋体"/>
          <w:lang w:eastAsia="zh-CN"/>
        </w:rPr>
        <w:sectPr>
          <w:headerReference r:id="rId5" w:type="default"/>
          <w:footerReference r:id="rId6" w:type="default"/>
          <w:pgSz w:w="11906" w:h="16840"/>
          <w:pgMar w:top="1" w:right="1" w:bottom="1" w:left="0" w:header="0" w:footer="0" w:gutter="0"/>
          <w:cols w:space="720" w:num="1"/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-2136775</wp:posOffset>
            </wp:positionV>
            <wp:extent cx="7555230" cy="10685780"/>
            <wp:effectExtent l="0" t="0" r="7620" b="0"/>
            <wp:wrapTight wrapText="bothSides">
              <wp:wrapPolygon>
                <wp:start x="0" y="0"/>
                <wp:lineTo x="0" y="21564"/>
                <wp:lineTo x="21567" y="21564"/>
                <wp:lineTo x="21567" y="0"/>
                <wp:lineTo x="0" y="0"/>
              </wp:wrapPolygon>
            </wp:wrapTight>
            <wp:docPr id="1" name="图片 1" descr="409dc0c72d4d4b3d5cf87e2ca096df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409dc0c72d4d4b3d5cf87e2ca096dfa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641A4F">
      <w:pPr>
        <w:spacing w:before="9"/>
      </w:pPr>
    </w:p>
    <w:p w14:paraId="5C17B3B1">
      <w:pPr>
        <w:spacing w:before="9"/>
      </w:pPr>
    </w:p>
    <w:p w14:paraId="50D9724B">
      <w:pPr>
        <w:spacing w:before="9"/>
      </w:pPr>
    </w:p>
    <w:p w14:paraId="5C283F7F">
      <w:pPr>
        <w:spacing w:before="9"/>
      </w:pPr>
    </w:p>
    <w:p w14:paraId="3AEFC214">
      <w:pPr>
        <w:spacing w:before="9"/>
      </w:pPr>
    </w:p>
    <w:p w14:paraId="4ED29B0C">
      <w:pPr>
        <w:spacing w:before="9"/>
      </w:pPr>
    </w:p>
    <w:p w14:paraId="3FF92DCD">
      <w:pPr>
        <w:spacing w:before="9"/>
      </w:pPr>
    </w:p>
    <w:p w14:paraId="5296655D">
      <w:pPr>
        <w:spacing w:before="9"/>
      </w:pPr>
    </w:p>
    <w:p w14:paraId="6D04D60D">
      <w:pPr>
        <w:spacing w:before="9"/>
      </w:pPr>
    </w:p>
    <w:p w14:paraId="31EEC73A">
      <w:pPr>
        <w:spacing w:before="9"/>
      </w:pPr>
    </w:p>
    <w:p w14:paraId="155B7BCD">
      <w:pPr>
        <w:spacing w:before="9"/>
      </w:pPr>
    </w:p>
    <w:p w14:paraId="395C02BF">
      <w:pPr>
        <w:spacing w:before="8"/>
      </w:pPr>
    </w:p>
    <w:p w14:paraId="7057C6EE">
      <w:pPr>
        <w:spacing w:before="8"/>
      </w:pPr>
    </w:p>
    <w:p w14:paraId="3B5D0225">
      <w:pPr>
        <w:spacing w:before="8"/>
      </w:pPr>
    </w:p>
    <w:p w14:paraId="2544FAA0">
      <w:pPr>
        <w:spacing w:before="8"/>
      </w:pPr>
    </w:p>
    <w:p w14:paraId="6C749508">
      <w:pPr>
        <w:spacing w:before="8"/>
      </w:pPr>
    </w:p>
    <w:p w14:paraId="5D5FB10D">
      <w:pPr>
        <w:spacing w:before="8"/>
      </w:pPr>
    </w:p>
    <w:p w14:paraId="5AC406C1">
      <w:pPr>
        <w:spacing w:before="8"/>
      </w:pPr>
    </w:p>
    <w:tbl>
      <w:tblPr>
        <w:tblStyle w:val="8"/>
        <w:tblW w:w="9555" w:type="dxa"/>
        <w:tblInd w:w="1190" w:type="dxa"/>
        <w:tblBorders>
          <w:top w:val="single" w:color="4F81BD" w:sz="2" w:space="0"/>
          <w:left w:val="single" w:color="4F81BD" w:sz="2" w:space="0"/>
          <w:bottom w:val="single" w:color="4F81BD" w:sz="2" w:space="0"/>
          <w:right w:val="single" w:color="4F81BD" w:sz="2" w:space="0"/>
          <w:insideH w:val="none" w:color="auto" w:sz="0" w:space="0"/>
          <w:insideV w:val="none" w:color="auto" w:sz="0" w:space="0"/>
        </w:tblBorders>
        <w:shd w:val="clear" w:color="auto" w:fill="FFFFFF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555"/>
      </w:tblGrid>
      <w:tr w14:paraId="5CDAB26D">
        <w:tblPrEx>
          <w:tblBorders>
            <w:top w:val="single" w:color="4F81BD" w:sz="2" w:space="0"/>
            <w:left w:val="single" w:color="4F81BD" w:sz="2" w:space="0"/>
            <w:bottom w:val="single" w:color="4F81BD" w:sz="2" w:space="0"/>
            <w:right w:val="single" w:color="4F81BD" w:sz="2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92" w:hRule="atLeast"/>
        </w:trPr>
        <w:tc>
          <w:tcPr>
            <w:tcW w:w="9555" w:type="dxa"/>
            <w:shd w:val="clear" w:color="auto" w:fill="FFFFFF"/>
            <w:vAlign w:val="top"/>
          </w:tcPr>
          <w:p w14:paraId="1A4B0C6F">
            <w:pPr>
              <w:spacing w:line="255" w:lineRule="auto"/>
              <w:rPr>
                <w:rFonts w:ascii="Arial"/>
                <w:sz w:val="21"/>
              </w:rPr>
            </w:pPr>
            <w:r>
              <w:drawing>
                <wp:anchor distT="0" distB="0" distL="0" distR="0" simplePos="0" relativeHeight="251663360" behindDoc="0" locked="0" layoutInCell="1" allowOverlap="1">
                  <wp:simplePos x="0" y="0"/>
                  <wp:positionH relativeFrom="rightMargin">
                    <wp:posOffset>-5617210</wp:posOffset>
                  </wp:positionH>
                  <wp:positionV relativeFrom="topMargin">
                    <wp:posOffset>713740</wp:posOffset>
                  </wp:positionV>
                  <wp:extent cx="243840" cy="243840"/>
                  <wp:effectExtent l="0" t="0" r="0" b="0"/>
                  <wp:wrapNone/>
                  <wp:docPr id="6" name="IM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 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39" cy="24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0" distR="0" simplePos="0" relativeHeight="251662336" behindDoc="0" locked="0" layoutInCell="1" allowOverlap="1">
                  <wp:simplePos x="0" y="0"/>
                  <wp:positionH relativeFrom="rightMargin">
                    <wp:posOffset>-681355</wp:posOffset>
                  </wp:positionH>
                  <wp:positionV relativeFrom="topMargin">
                    <wp:posOffset>707390</wp:posOffset>
                  </wp:positionV>
                  <wp:extent cx="243840" cy="243840"/>
                  <wp:effectExtent l="0" t="0" r="0" b="0"/>
                  <wp:wrapNone/>
                  <wp:docPr id="8" name="IM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 8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" cy="24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0DD2E97">
            <w:pPr>
              <w:spacing w:line="256" w:lineRule="auto"/>
              <w:rPr>
                <w:rFonts w:ascii="Arial"/>
                <w:sz w:val="21"/>
              </w:rPr>
            </w:pPr>
          </w:p>
          <w:p w14:paraId="32D480B9">
            <w:pPr>
              <w:spacing w:line="256" w:lineRule="auto"/>
              <w:rPr>
                <w:rFonts w:ascii="Arial"/>
                <w:sz w:val="21"/>
              </w:rPr>
            </w:pPr>
          </w:p>
          <w:p w14:paraId="4931DD5E">
            <w:pPr>
              <w:spacing w:line="256" w:lineRule="auto"/>
              <w:rPr>
                <w:rFonts w:ascii="Arial"/>
                <w:sz w:val="21"/>
              </w:rPr>
            </w:pPr>
          </w:p>
          <w:p w14:paraId="041300F4">
            <w:pPr>
              <w:spacing w:line="256" w:lineRule="auto"/>
              <w:rPr>
                <w:rFonts w:ascii="Arial"/>
                <w:sz w:val="21"/>
              </w:rPr>
            </w:pPr>
          </w:p>
          <w:p w14:paraId="32B7EB6B">
            <w:pPr>
              <w:spacing w:line="38" w:lineRule="exact"/>
              <w:ind w:firstLine="1238"/>
            </w:pPr>
            <w:r>
              <w:pict>
                <v:shape id="_x0000_s1026" o:spid="_x0000_s1026" style="height:1.95pt;width:353.4pt;" fillcolor="#4F81BD" filled="t" stroked="f" coordsize="7067,39" path="m0,0l0,38,7067,38,7067,0,0,0e">
                  <v:path/>
                  <v:fill on="t" focussize="0,0"/>
                  <v:stroke on="f"/>
                  <v:imagedata o:title=""/>
                  <o:lock v:ext="edit"/>
                  <w10:wrap type="none"/>
                  <w10:anchorlock/>
                </v:shape>
              </w:pict>
            </w:r>
          </w:p>
          <w:p w14:paraId="0DC3FCDE">
            <w:pPr>
              <w:spacing w:line="252" w:lineRule="auto"/>
              <w:rPr>
                <w:rFonts w:ascii="Arial"/>
                <w:sz w:val="21"/>
              </w:rPr>
            </w:pPr>
          </w:p>
          <w:p w14:paraId="46D458AA">
            <w:pPr>
              <w:spacing w:line="253" w:lineRule="auto"/>
              <w:rPr>
                <w:rFonts w:ascii="Arial"/>
                <w:sz w:val="21"/>
              </w:rPr>
            </w:pPr>
          </w:p>
          <w:p w14:paraId="3ED1CC57">
            <w:pPr>
              <w:spacing w:before="146" w:line="206" w:lineRule="auto"/>
              <w:ind w:left="3008" w:right="2277" w:hanging="662"/>
              <w:rPr>
                <w:rFonts w:ascii="微软雅黑" w:hAnsi="微软雅黑" w:eastAsia="微软雅黑" w:cs="微软雅黑"/>
                <w:sz w:val="34"/>
                <w:szCs w:val="34"/>
              </w:rPr>
            </w:pPr>
            <w:r>
              <w:pict>
                <v:shape id="_x0000_s1027" o:spid="_x0000_s1027" o:spt="202" type="#_x0000_t202" style="position:absolute;left:0pt;margin-left:166.5pt;margin-top:-66.85pt;height:75.2pt;width:159.85pt;z-index:251661312;mso-width-relative:page;mso-height-relative:page;" filled="f" stroked="f" coordsize="21600,21600">
                  <v:path/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29BA94F">
                        <w:pPr>
                          <w:spacing w:before="17" w:line="183" w:lineRule="auto"/>
                          <w:jc w:val="right"/>
                          <w:rPr>
                            <w:rFonts w:ascii="微软雅黑" w:hAnsi="微软雅黑" w:eastAsia="微软雅黑" w:cs="微软雅黑"/>
                            <w:sz w:val="112"/>
                            <w:szCs w:val="112"/>
                          </w:rPr>
                        </w:pPr>
                        <w:r>
                          <w:rPr>
                            <w:rFonts w:ascii="微软雅黑" w:hAnsi="微软雅黑" w:eastAsia="微软雅黑" w:cs="微软雅黑"/>
                            <w:color w:val="4F81BD"/>
                            <w:spacing w:val="-37"/>
                            <w:w w:val="96"/>
                            <w:sz w:val="112"/>
                            <w:szCs w:val="112"/>
                          </w:rPr>
                          <w:t>万</w:t>
                        </w:r>
                        <w:r>
                          <w:rPr>
                            <w:rFonts w:ascii="微软雅黑" w:hAnsi="微软雅黑" w:eastAsia="微软雅黑" w:cs="微软雅黑"/>
                            <w:color w:val="4F81BD"/>
                            <w:spacing w:val="-36"/>
                            <w:w w:val="96"/>
                            <w:sz w:val="112"/>
                            <w:szCs w:val="112"/>
                          </w:rPr>
                          <w:t>峰</w:t>
                        </w:r>
                        <w:r>
                          <w:rPr>
                            <w:rFonts w:ascii="微软雅黑" w:hAnsi="微软雅黑" w:eastAsia="微软雅黑" w:cs="微软雅黑"/>
                            <w:color w:val="4F81BD"/>
                            <w:spacing w:val="-8"/>
                            <w:w w:val="96"/>
                            <w:sz w:val="112"/>
                            <w:szCs w:val="112"/>
                          </w:rPr>
                          <w:t>林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微软雅黑" w:hAnsi="微软雅黑" w:eastAsia="微软雅黑" w:cs="微软雅黑"/>
                <w:b/>
                <w:bCs/>
                <w:color w:val="4F81BD"/>
                <w:sz w:val="34"/>
                <w:szCs w:val="34"/>
              </w:rPr>
              <w:t>“地球彩带、</w:t>
            </w:r>
            <w:r>
              <w:rPr>
                <w:rFonts w:ascii="微软雅黑" w:hAnsi="微软雅黑" w:eastAsia="微软雅黑" w:cs="微软雅黑"/>
                <w:b/>
                <w:bCs/>
                <w:color w:val="4F81BD"/>
                <w:spacing w:val="-18"/>
                <w:sz w:val="34"/>
                <w:szCs w:val="34"/>
              </w:rPr>
              <w:t xml:space="preserve"> </w:t>
            </w:r>
            <w:r>
              <w:rPr>
                <w:rFonts w:ascii="微软雅黑" w:hAnsi="微软雅黑" w:eastAsia="微软雅黑" w:cs="微软雅黑"/>
                <w:b/>
                <w:bCs/>
                <w:color w:val="4F81BD"/>
                <w:sz w:val="34"/>
                <w:szCs w:val="34"/>
              </w:rPr>
              <w:t>世界花园</w:t>
            </w:r>
            <w:r>
              <w:rPr>
                <w:rFonts w:ascii="微软雅黑" w:hAnsi="微软雅黑" w:eastAsia="微软雅黑" w:cs="微软雅黑"/>
                <w:b/>
                <w:bCs/>
                <w:color w:val="4F81BD"/>
                <w:spacing w:val="-20"/>
                <w:sz w:val="34"/>
                <w:szCs w:val="34"/>
              </w:rPr>
              <w:t xml:space="preserve"> </w:t>
            </w:r>
            <w:r>
              <w:rPr>
                <w:rFonts w:ascii="微软雅黑" w:hAnsi="微软雅黑" w:eastAsia="微软雅黑" w:cs="微软雅黑"/>
                <w:b/>
                <w:bCs/>
                <w:color w:val="4F81BD"/>
                <w:sz w:val="34"/>
                <w:szCs w:val="34"/>
              </w:rPr>
              <w:t xml:space="preserve">”之美誉 </w:t>
            </w:r>
            <w:r>
              <w:rPr>
                <w:rFonts w:ascii="微软雅黑" w:hAnsi="微软雅黑" w:eastAsia="微软雅黑" w:cs="微软雅黑"/>
                <w:b/>
                <w:bCs/>
                <w:color w:val="4F81BD"/>
                <w:spacing w:val="11"/>
                <w:sz w:val="34"/>
                <w:szCs w:val="34"/>
              </w:rPr>
              <w:t>世界上最大的天然花园</w:t>
            </w:r>
          </w:p>
        </w:tc>
      </w:tr>
    </w:tbl>
    <w:p w14:paraId="61449682">
      <w:pPr>
        <w:spacing w:before="84" w:line="8120" w:lineRule="exact"/>
        <w:ind w:firstLine="892"/>
      </w:pPr>
      <w:r>
        <w:drawing>
          <wp:anchor distT="0" distB="0" distL="0" distR="0" simplePos="0" relativeHeight="251660288" behindDoc="0" locked="0" layoutInCell="1" allowOverlap="1">
            <wp:simplePos x="0" y="0"/>
            <wp:positionH relativeFrom="column">
              <wp:posOffset>4485005</wp:posOffset>
            </wp:positionH>
            <wp:positionV relativeFrom="paragraph">
              <wp:posOffset>59690</wp:posOffset>
            </wp:positionV>
            <wp:extent cx="2499360" cy="5177155"/>
            <wp:effectExtent l="0" t="0" r="0" b="0"/>
            <wp:wrapNone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99360" cy="5177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162"/>
        </w:rPr>
        <w:drawing>
          <wp:inline distT="0" distB="0" distL="0" distR="0">
            <wp:extent cx="3869055" cy="5155565"/>
            <wp:effectExtent l="0" t="0" r="0" b="0"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69435" cy="5155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19B04">
      <w:pPr>
        <w:spacing w:line="8120" w:lineRule="exact"/>
        <w:sectPr>
          <w:headerReference r:id="rId7" w:type="default"/>
          <w:pgSz w:w="11906" w:h="16840"/>
          <w:pgMar w:top="400" w:right="0" w:bottom="400" w:left="0" w:header="0" w:footer="0" w:gutter="0"/>
          <w:cols w:space="720" w:num="1"/>
        </w:sectPr>
      </w:pPr>
    </w:p>
    <w:p w14:paraId="3AFF585B">
      <w:pPr>
        <w:pStyle w:val="2"/>
        <w:spacing w:line="241" w:lineRule="auto"/>
      </w:pPr>
    </w:p>
    <w:p w14:paraId="7BC4088D">
      <w:pPr>
        <w:pStyle w:val="2"/>
        <w:spacing w:line="241" w:lineRule="auto"/>
      </w:pPr>
    </w:p>
    <w:p w14:paraId="5C415C9D">
      <w:pPr>
        <w:pStyle w:val="2"/>
        <w:spacing w:line="241" w:lineRule="auto"/>
      </w:pPr>
    </w:p>
    <w:p w14:paraId="3F1CA702">
      <w:pPr>
        <w:pStyle w:val="2"/>
        <w:spacing w:line="241" w:lineRule="auto"/>
      </w:pPr>
    </w:p>
    <w:p w14:paraId="61624AE6">
      <w:pPr>
        <w:pStyle w:val="2"/>
        <w:spacing w:line="241" w:lineRule="auto"/>
      </w:pPr>
    </w:p>
    <w:p w14:paraId="4BF8B89E">
      <w:pPr>
        <w:pStyle w:val="2"/>
        <w:spacing w:line="241" w:lineRule="auto"/>
      </w:pPr>
    </w:p>
    <w:p w14:paraId="53FFF31B">
      <w:pPr>
        <w:pStyle w:val="2"/>
        <w:spacing w:line="241" w:lineRule="auto"/>
      </w:pPr>
    </w:p>
    <w:p w14:paraId="52459CD0">
      <w:pPr>
        <w:pStyle w:val="2"/>
        <w:spacing w:line="241" w:lineRule="auto"/>
      </w:pPr>
    </w:p>
    <w:p w14:paraId="52D0623F">
      <w:pPr>
        <w:pStyle w:val="2"/>
        <w:spacing w:line="241" w:lineRule="auto"/>
      </w:pPr>
    </w:p>
    <w:p w14:paraId="057C3F57">
      <w:pPr>
        <w:pStyle w:val="2"/>
        <w:spacing w:line="241" w:lineRule="auto"/>
      </w:pPr>
    </w:p>
    <w:p w14:paraId="0DA0DDD5">
      <w:pPr>
        <w:pStyle w:val="2"/>
        <w:spacing w:line="241" w:lineRule="auto"/>
      </w:pPr>
    </w:p>
    <w:p w14:paraId="4C9CF560">
      <w:pPr>
        <w:pStyle w:val="2"/>
        <w:spacing w:line="241" w:lineRule="auto"/>
      </w:pPr>
    </w:p>
    <w:p w14:paraId="37D7E91D">
      <w:pPr>
        <w:pStyle w:val="2"/>
        <w:spacing w:line="241" w:lineRule="auto"/>
      </w:pPr>
    </w:p>
    <w:p w14:paraId="293554BF">
      <w:pPr>
        <w:pStyle w:val="2"/>
        <w:spacing w:line="241" w:lineRule="auto"/>
      </w:pPr>
    </w:p>
    <w:p w14:paraId="392BCCFB">
      <w:pPr>
        <w:pStyle w:val="2"/>
        <w:spacing w:line="242" w:lineRule="auto"/>
      </w:pPr>
    </w:p>
    <w:p w14:paraId="2AB3C32C">
      <w:pPr>
        <w:pStyle w:val="2"/>
        <w:spacing w:line="242" w:lineRule="auto"/>
      </w:pPr>
    </w:p>
    <w:p w14:paraId="341C3738">
      <w:pPr>
        <w:tabs>
          <w:tab w:val="left" w:pos="2276"/>
        </w:tabs>
        <w:spacing w:before="403" w:line="173" w:lineRule="auto"/>
        <w:ind w:left="1811"/>
        <w:rPr>
          <w:rFonts w:ascii="微软雅黑" w:hAnsi="微软雅黑" w:eastAsia="微软雅黑" w:cs="微软雅黑"/>
          <w:sz w:val="94"/>
          <w:szCs w:val="94"/>
        </w:rPr>
      </w:pPr>
      <w:r>
        <w:rPr>
          <w:rFonts w:ascii="微软雅黑" w:hAnsi="微软雅黑" w:eastAsia="微软雅黑" w:cs="微软雅黑"/>
          <w:color w:val="4F81BD"/>
          <w:sz w:val="94"/>
          <w:szCs w:val="94"/>
          <w:u w:val="single" w:color="000000"/>
        </w:rPr>
        <w:tab/>
      </w:r>
      <w:r>
        <w:rPr>
          <w:rFonts w:ascii="微软雅黑" w:hAnsi="微软雅黑" w:eastAsia="微软雅黑" w:cs="微软雅黑"/>
          <w:color w:val="4F81BD"/>
          <w:spacing w:val="-10"/>
          <w:sz w:val="94"/>
          <w:szCs w:val="94"/>
          <w:u w:val="single" w:color="auto"/>
        </w:rPr>
        <w:t>马岭河峡谷</w:t>
      </w:r>
    </w:p>
    <w:p w14:paraId="3E03329A">
      <w:pPr>
        <w:spacing w:before="82" w:line="184" w:lineRule="auto"/>
        <w:ind w:left="2596"/>
        <w:rPr>
          <w:rFonts w:ascii="微软雅黑" w:hAnsi="微软雅黑" w:eastAsia="微软雅黑" w:cs="微软雅黑"/>
          <w:sz w:val="34"/>
          <w:szCs w:val="34"/>
        </w:rPr>
      </w:pPr>
      <w:r>
        <w:rPr>
          <w:rFonts w:ascii="微软雅黑" w:hAnsi="微软雅黑" w:eastAsia="微软雅黑" w:cs="微软雅黑"/>
          <w:b/>
          <w:bCs/>
          <w:color w:val="4F81BD"/>
          <w:spacing w:val="35"/>
          <w:sz w:val="34"/>
          <w:szCs w:val="34"/>
        </w:rPr>
        <w:t>“ 地球上最美丽的伤痕</w:t>
      </w:r>
      <w:r>
        <w:rPr>
          <w:rFonts w:ascii="微软雅黑" w:hAnsi="微软雅黑" w:eastAsia="微软雅黑" w:cs="微软雅黑"/>
          <w:b/>
          <w:bCs/>
          <w:color w:val="4F81BD"/>
          <w:spacing w:val="88"/>
          <w:sz w:val="34"/>
          <w:szCs w:val="34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4F81BD"/>
          <w:spacing w:val="35"/>
          <w:sz w:val="34"/>
          <w:szCs w:val="34"/>
        </w:rPr>
        <w:t>”</w:t>
      </w:r>
    </w:p>
    <w:p w14:paraId="3ACDE281">
      <w:pPr>
        <w:pStyle w:val="2"/>
        <w:spacing w:line="353" w:lineRule="auto"/>
      </w:pPr>
    </w:p>
    <w:p w14:paraId="63251DB2">
      <w:pPr>
        <w:spacing w:before="403" w:line="174" w:lineRule="auto"/>
        <w:ind w:left="5829"/>
        <w:rPr>
          <w:rFonts w:ascii="微软雅黑" w:hAnsi="微软雅黑" w:eastAsia="微软雅黑" w:cs="微软雅黑"/>
          <w:sz w:val="94"/>
          <w:szCs w:val="94"/>
        </w:rPr>
      </w:pPr>
      <w:r>
        <w:pict>
          <v:shape id="_x0000_s1031" o:spid="_x0000_s1031" style="position:absolute;left:0pt;margin-left:221.85pt;margin-top:63.2pt;height:1.95pt;width:267.5pt;z-index:-251651072;mso-width-relative:page;mso-height-relative:page;" fillcolor="#4F81BD" filled="t" stroked="f" coordsize="5350,39" path="m0,0l0,38,5349,38,5349,0,0,0e">
            <v:path/>
            <v:fill on="t" focussize="0,0"/>
            <v:stroke on="f"/>
            <v:imagedata o:title=""/>
            <o:lock v:ext="edit"/>
          </v:shape>
        </w:pict>
      </w:r>
      <w:r>
        <w:rPr>
          <w:rFonts w:ascii="微软雅黑" w:hAnsi="微软雅黑" w:eastAsia="微软雅黑" w:cs="微软雅黑"/>
          <w:color w:val="4F81BD"/>
          <w:spacing w:val="-9"/>
          <w:sz w:val="94"/>
          <w:szCs w:val="94"/>
        </w:rPr>
        <w:t>万峰湖</w:t>
      </w:r>
    </w:p>
    <w:p w14:paraId="02850AD6">
      <w:pPr>
        <w:spacing w:line="183" w:lineRule="auto"/>
        <w:ind w:left="5229"/>
        <w:rPr>
          <w:rFonts w:ascii="微软雅黑" w:hAnsi="微软雅黑" w:eastAsia="微软雅黑" w:cs="微软雅黑"/>
          <w:sz w:val="34"/>
          <w:szCs w:val="34"/>
        </w:rPr>
      </w:pPr>
      <w:r>
        <w:rPr>
          <w:rFonts w:ascii="微软雅黑" w:hAnsi="微软雅黑" w:eastAsia="微软雅黑" w:cs="微软雅黑"/>
          <w:b/>
          <w:bCs/>
          <w:color w:val="4F81BD"/>
          <w:spacing w:val="13"/>
          <w:sz w:val="34"/>
          <w:szCs w:val="34"/>
        </w:rPr>
        <w:t>“ 西南之最</w:t>
      </w:r>
      <w:r>
        <w:rPr>
          <w:rFonts w:ascii="微软雅黑" w:hAnsi="微软雅黑" w:eastAsia="微软雅黑" w:cs="微软雅黑"/>
          <w:b/>
          <w:bCs/>
          <w:color w:val="4F81BD"/>
          <w:spacing w:val="77"/>
          <w:sz w:val="34"/>
          <w:szCs w:val="34"/>
        </w:rPr>
        <w:t xml:space="preserve"> </w:t>
      </w:r>
      <w:r>
        <w:rPr>
          <w:rFonts w:ascii="微软雅黑" w:hAnsi="微软雅黑" w:eastAsia="微软雅黑" w:cs="微软雅黑"/>
          <w:b/>
          <w:bCs/>
          <w:color w:val="4F81BD"/>
          <w:spacing w:val="13"/>
          <w:sz w:val="34"/>
          <w:szCs w:val="34"/>
        </w:rPr>
        <w:t>，</w:t>
      </w:r>
      <w:r>
        <w:rPr>
          <w:rFonts w:ascii="微软雅黑" w:hAnsi="微软雅黑" w:eastAsia="微软雅黑" w:cs="微软雅黑"/>
          <w:b/>
          <w:bCs/>
          <w:color w:val="4F81BD"/>
          <w:spacing w:val="2"/>
          <w:sz w:val="34"/>
          <w:szCs w:val="34"/>
        </w:rPr>
        <w:t xml:space="preserve">  </w:t>
      </w:r>
      <w:r>
        <w:rPr>
          <w:rFonts w:ascii="微软雅黑" w:hAnsi="微软雅黑" w:eastAsia="微软雅黑" w:cs="微软雅黑"/>
          <w:b/>
          <w:bCs/>
          <w:color w:val="4F81BD"/>
          <w:spacing w:val="13"/>
          <w:sz w:val="34"/>
          <w:szCs w:val="34"/>
        </w:rPr>
        <w:t>山水画卷 ”</w:t>
      </w:r>
    </w:p>
    <w:p w14:paraId="1AE01FDB">
      <w:pPr>
        <w:pStyle w:val="2"/>
        <w:spacing w:line="247" w:lineRule="auto"/>
      </w:pPr>
    </w:p>
    <w:p w14:paraId="22DA3E73">
      <w:pPr>
        <w:pStyle w:val="2"/>
        <w:spacing w:line="247" w:lineRule="auto"/>
      </w:pPr>
    </w:p>
    <w:p w14:paraId="3093537D">
      <w:pPr>
        <w:pStyle w:val="2"/>
        <w:spacing w:line="247" w:lineRule="auto"/>
      </w:pPr>
    </w:p>
    <w:p w14:paraId="5EF781C2">
      <w:pPr>
        <w:pStyle w:val="2"/>
        <w:spacing w:line="247" w:lineRule="auto"/>
      </w:pPr>
    </w:p>
    <w:p w14:paraId="4757C3DE">
      <w:pPr>
        <w:pStyle w:val="2"/>
        <w:spacing w:line="247" w:lineRule="auto"/>
      </w:pPr>
    </w:p>
    <w:p w14:paraId="01C84DD7">
      <w:pPr>
        <w:pStyle w:val="2"/>
        <w:spacing w:line="247" w:lineRule="auto"/>
      </w:pPr>
    </w:p>
    <w:p w14:paraId="400949C9">
      <w:pPr>
        <w:pStyle w:val="2"/>
        <w:spacing w:line="247" w:lineRule="auto"/>
      </w:pPr>
    </w:p>
    <w:p w14:paraId="5C0F2BD1">
      <w:pPr>
        <w:pStyle w:val="2"/>
        <w:spacing w:line="247" w:lineRule="auto"/>
      </w:pPr>
    </w:p>
    <w:p w14:paraId="39E84FA3">
      <w:pPr>
        <w:pStyle w:val="2"/>
        <w:spacing w:line="247" w:lineRule="auto"/>
      </w:pPr>
    </w:p>
    <w:p w14:paraId="00A51D7D">
      <w:pPr>
        <w:pStyle w:val="2"/>
        <w:spacing w:line="247" w:lineRule="auto"/>
      </w:pPr>
    </w:p>
    <w:p w14:paraId="048CB4B9">
      <w:pPr>
        <w:pStyle w:val="2"/>
        <w:spacing w:line="247" w:lineRule="auto"/>
      </w:pPr>
    </w:p>
    <w:p w14:paraId="2BA81D18">
      <w:pPr>
        <w:pStyle w:val="2"/>
        <w:spacing w:line="247" w:lineRule="auto"/>
      </w:pPr>
    </w:p>
    <w:p w14:paraId="3ABEDCDD">
      <w:pPr>
        <w:pStyle w:val="2"/>
        <w:spacing w:line="247" w:lineRule="auto"/>
      </w:pPr>
    </w:p>
    <w:p w14:paraId="77311069">
      <w:pPr>
        <w:pStyle w:val="2"/>
        <w:spacing w:line="247" w:lineRule="auto"/>
      </w:pPr>
    </w:p>
    <w:p w14:paraId="53CEC0AD">
      <w:pPr>
        <w:pStyle w:val="2"/>
        <w:spacing w:line="247" w:lineRule="auto"/>
      </w:pPr>
    </w:p>
    <w:p w14:paraId="79506F87">
      <w:pPr>
        <w:pStyle w:val="2"/>
        <w:spacing w:line="247" w:lineRule="auto"/>
      </w:pPr>
    </w:p>
    <w:p w14:paraId="718A47D9">
      <w:pPr>
        <w:pStyle w:val="2"/>
        <w:spacing w:line="247" w:lineRule="auto"/>
      </w:pPr>
    </w:p>
    <w:p w14:paraId="4886B97A">
      <w:pPr>
        <w:pStyle w:val="2"/>
        <w:spacing w:line="247" w:lineRule="auto"/>
      </w:pPr>
    </w:p>
    <w:p w14:paraId="4505A930">
      <w:pPr>
        <w:pStyle w:val="2"/>
        <w:spacing w:line="247" w:lineRule="auto"/>
      </w:pPr>
    </w:p>
    <w:p w14:paraId="35C485DE">
      <w:pPr>
        <w:pStyle w:val="2"/>
        <w:spacing w:line="247" w:lineRule="auto"/>
      </w:pPr>
    </w:p>
    <w:p w14:paraId="330502BE">
      <w:pPr>
        <w:pStyle w:val="2"/>
        <w:spacing w:line="247" w:lineRule="auto"/>
      </w:pPr>
    </w:p>
    <w:p w14:paraId="228604F0">
      <w:pPr>
        <w:pStyle w:val="2"/>
        <w:spacing w:line="248" w:lineRule="auto"/>
      </w:pPr>
    </w:p>
    <w:p w14:paraId="79994EBA">
      <w:pPr>
        <w:spacing w:line="1776" w:lineRule="exact"/>
        <w:ind w:firstLine="3547"/>
        <w:sectPr>
          <w:headerReference r:id="rId8" w:type="default"/>
          <w:pgSz w:w="11906" w:h="16840"/>
          <w:pgMar w:top="400" w:right="0" w:bottom="400" w:left="0" w:header="0" w:footer="0" w:gutter="0"/>
          <w:cols w:space="720" w:num="1"/>
        </w:sectPr>
      </w:pPr>
      <w:r>
        <w:rPr>
          <w:position w:val="-35"/>
        </w:rPr>
        <w:pict>
          <v:group id="_x0000_s1032" o:spid="_x0000_s1032" o:spt="203" style="height:88.8pt;width:362.55pt;" coordsize="7250,1776">
            <o:lock v:ext="edit"/>
            <v:rect id="_x0000_s1033" o:spid="_x0000_s1033" o:spt="1" style="position:absolute;left:0;top:0;height:1776;width:7250;" fillcolor="#FFFFFF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034" o:spid="_x0000_s1034" style="position:absolute;left:947;top:964;height:39;width:5347;" fillcolor="#4F81BD" filled="t" stroked="f" coordsize="5347,39" path="m0,0l0,38,5347,38,5347,0,0,0e">
              <v:path/>
              <v:fill on="t" focussize="0,0"/>
              <v:stroke on="f"/>
              <v:imagedata o:title=""/>
              <o:lock v:ext="edit"/>
            </v:shape>
            <v:shape id="_x0000_s1035" o:spid="_x0000_s1035" o:spt="202" type="#_x0000_t202" style="position:absolute;left:1107;top:88;height:1553;width:5015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527FCA6">
                    <w:pPr>
                      <w:spacing w:before="18" w:line="175" w:lineRule="auto"/>
                      <w:ind w:left="759"/>
                      <w:rPr>
                        <w:rFonts w:ascii="微软雅黑" w:hAnsi="微软雅黑" w:eastAsia="微软雅黑" w:cs="微软雅黑"/>
                        <w:sz w:val="94"/>
                        <w:szCs w:val="94"/>
                      </w:rPr>
                    </w:pPr>
                    <w:r>
                      <w:rPr>
                        <w:rFonts w:ascii="微软雅黑" w:hAnsi="微软雅黑" w:eastAsia="微软雅黑" w:cs="微软雅黑"/>
                        <w:color w:val="4F81BD"/>
                        <w:spacing w:val="-18"/>
                        <w:sz w:val="94"/>
                        <w:szCs w:val="94"/>
                      </w:rPr>
                      <w:t>峰林布依</w:t>
                    </w:r>
                  </w:p>
                  <w:p w14:paraId="3D5795F9">
                    <w:pPr>
                      <w:spacing w:line="183" w:lineRule="auto"/>
                      <w:ind w:left="20"/>
                      <w:rPr>
                        <w:rFonts w:ascii="微软雅黑" w:hAnsi="微软雅黑" w:eastAsia="微软雅黑" w:cs="微软雅黑"/>
                        <w:sz w:val="34"/>
                        <w:szCs w:val="34"/>
                      </w:rPr>
                    </w:pP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4F81BD"/>
                        <w:spacing w:val="2"/>
                        <w:sz w:val="34"/>
                        <w:szCs w:val="34"/>
                      </w:rPr>
                      <w:t>布依建筑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4F81BD"/>
                        <w:spacing w:val="52"/>
                        <w:sz w:val="34"/>
                        <w:szCs w:val="34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4F81BD"/>
                        <w:spacing w:val="2"/>
                        <w:sz w:val="34"/>
                        <w:szCs w:val="34"/>
                      </w:rPr>
                      <w:t>·布依风情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4F81BD"/>
                        <w:spacing w:val="28"/>
                        <w:sz w:val="34"/>
                        <w:szCs w:val="34"/>
                      </w:rPr>
                      <w:t xml:space="preserve">  </w:t>
                    </w:r>
                    <w:r>
                      <w:rPr>
                        <w:rFonts w:ascii="微软雅黑" w:hAnsi="微软雅黑" w:eastAsia="微软雅黑" w:cs="微软雅黑"/>
                        <w:b/>
                        <w:bCs/>
                        <w:color w:val="4F81BD"/>
                        <w:spacing w:val="2"/>
                        <w:sz w:val="34"/>
                        <w:szCs w:val="34"/>
                      </w:rPr>
                      <w:t>·布依文化</w:t>
                    </w:r>
                  </w:p>
                </w:txbxContent>
              </v:textbox>
            </v:shape>
            <v:shape id="_x0000_s1036" o:spid="_x0000_s1036" style="position:absolute;left:6441;top:858;height:255;width:261;" fillcolor="#4F81BD" filled="t" stroked="f" coordsize="261,255" path="m0,125c0,54,59,0,130,0c202,0,260,54,260,124c260,194,202,254,130,254c59,254,0,194,0,125e">
              <v:path/>
              <v:fill on="t" focussize="0,0"/>
              <v:stroke on="f"/>
              <v:imagedata o:title=""/>
              <o:lock v:ext="edit"/>
            </v:shape>
            <v:shape id="_x0000_s1037" o:spid="_x0000_s1037" style="position:absolute;left:550;top:858;height:255;width:258;" fillcolor="#4F81BD" filled="t" stroked="f" coordsize="258,255" path="m1,125c0,54,56,0,128,0c201,0,258,54,258,124c258,194,201,254,128,254c56,254,0,194,1,125e">
              <v:path/>
              <v:fill on="t" focussize="0,0"/>
              <v:stroke on="f"/>
              <v:imagedata o:title=""/>
              <o:lock v:ext="edit"/>
            </v:shape>
            <w10:wrap type="none"/>
            <w10:anchorlock/>
          </v:group>
        </w:pict>
      </w:r>
    </w:p>
    <w:p w14:paraId="3FBA1B0E">
      <w:pPr>
        <w:pStyle w:val="2"/>
        <w:spacing w:line="242" w:lineRule="auto"/>
      </w:pPr>
    </w:p>
    <w:p w14:paraId="3D478012">
      <w:pPr>
        <w:pStyle w:val="2"/>
        <w:spacing w:line="242" w:lineRule="auto"/>
      </w:pPr>
    </w:p>
    <w:p w14:paraId="18AF48A4">
      <w:pPr>
        <w:pStyle w:val="2"/>
      </w:pPr>
    </w:p>
    <w:p w14:paraId="629E23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40"/>
        <w:jc w:val="center"/>
        <w:textAlignment w:val="auto"/>
        <w:rPr>
          <w:rFonts w:hint="eastAsia" w:ascii="黑体" w:hAnsi="黑体" w:eastAsia="黑体" w:cs="黑体"/>
          <w:b/>
          <w:bCs/>
          <w:color w:val="FF0000"/>
          <w:sz w:val="22"/>
          <w:szCs w:val="22"/>
          <w:highlight w:val="none"/>
          <w:lang w:val="en-US" w:eastAsia="zh-CN"/>
        </w:rPr>
      </w:pPr>
      <w:r>
        <w:rPr>
          <w:rFonts w:hint="eastAsia" w:ascii="华文行楷" w:hAnsi="华文行楷" w:eastAsia="华文行楷" w:cs="华文行楷"/>
          <w:b/>
          <w:bCs/>
          <w:color w:val="23A3BC"/>
          <w:sz w:val="52"/>
          <w:szCs w:val="52"/>
          <w:lang w:val="en-US" w:eastAsia="zh-CN"/>
        </w:rPr>
        <w:t>19℃的夏天·秘境凉都</w:t>
      </w:r>
      <w:r>
        <w:rPr>
          <w:rFonts w:hint="eastAsia" w:ascii="华文行楷" w:hAnsi="华文行楷" w:eastAsia="华文行楷" w:cs="华文行楷"/>
          <w:b/>
          <w:bCs/>
          <w:color w:val="23A3BC"/>
          <w:sz w:val="52"/>
          <w:szCs w:val="52"/>
          <w:lang w:val="en-US" w:eastAsia="zh-CN"/>
        </w:rPr>
        <w:br w:type="textWrapping"/>
      </w:r>
      <w:r>
        <w:rPr>
          <w:rFonts w:hint="eastAsia" w:ascii="黑体" w:hAnsi="黑体" w:eastAsia="黑体" w:cs="黑体"/>
          <w:b/>
          <w:bCs/>
          <w:color w:val="auto"/>
          <w:sz w:val="22"/>
          <w:szCs w:val="22"/>
          <w:highlight w:val="none"/>
          <w:lang w:val="en-US" w:eastAsia="zh-CN"/>
        </w:rPr>
        <w:t>凉都六盘水6日游</w:t>
      </w:r>
    </w:p>
    <w:p w14:paraId="31EE32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40"/>
        <w:jc w:val="center"/>
        <w:textAlignment w:val="auto"/>
        <w:rPr>
          <w:rFonts w:hint="eastAsia" w:ascii="幼圆" w:hAnsi="幼圆" w:eastAsia="幼圆" w:cs="幼圆"/>
          <w:color w:val="1BBDC3"/>
          <w:sz w:val="44"/>
          <w:szCs w:val="44"/>
        </w:rPr>
      </w:pPr>
      <w:r>
        <w:rPr>
          <w:rFonts w:hint="eastAsia" w:ascii="幼圆" w:hAnsi="幼圆" w:eastAsia="幼圆" w:cs="幼圆"/>
          <w:b/>
          <w:bCs/>
          <w:color w:val="1BBDC3"/>
          <w:sz w:val="24"/>
          <w:szCs w:val="24"/>
          <w:lang w:val="en-US" w:eastAsia="zh-CN"/>
        </w:rPr>
        <w:t>奢华、精品纯玩团</w:t>
      </w:r>
    </w:p>
    <w:p w14:paraId="1AF60F91"/>
    <w:tbl>
      <w:tblPr>
        <w:tblStyle w:val="5"/>
        <w:tblpPr w:leftFromText="180" w:rightFromText="180" w:vertAnchor="text" w:horzAnchor="page" w:tblpX="895" w:tblpY="175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5"/>
        <w:gridCol w:w="17"/>
        <w:gridCol w:w="32"/>
        <w:gridCol w:w="681"/>
        <w:gridCol w:w="29"/>
        <w:gridCol w:w="91"/>
        <w:gridCol w:w="1895"/>
        <w:gridCol w:w="20"/>
        <w:gridCol w:w="49"/>
        <w:gridCol w:w="1392"/>
        <w:gridCol w:w="6"/>
        <w:gridCol w:w="22"/>
        <w:gridCol w:w="72"/>
        <w:gridCol w:w="1879"/>
        <w:gridCol w:w="88"/>
        <w:gridCol w:w="919"/>
        <w:gridCol w:w="269"/>
        <w:gridCol w:w="9"/>
        <w:gridCol w:w="29"/>
        <w:gridCol w:w="473"/>
        <w:gridCol w:w="658"/>
        <w:gridCol w:w="1155"/>
      </w:tblGrid>
      <w:tr w14:paraId="4A869B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560" w:type="dxa"/>
            <w:gridSpan w:val="22"/>
            <w:tcBorders>
              <w:top w:val="nil"/>
              <w:left w:val="nil"/>
              <w:bottom w:val="nil"/>
              <w:right w:val="nil"/>
            </w:tcBorders>
            <w:shd w:val="clear" w:color="auto" w:fill="23A3BC"/>
            <w:noWrap w:val="0"/>
            <w:vAlign w:val="top"/>
          </w:tcPr>
          <w:p w14:paraId="66ABF18A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E599"/>
                <w:sz w:val="32"/>
                <w:szCs w:val="32"/>
                <w:highlight w:val="none"/>
                <w:vertAlign w:val="baseline"/>
                <w:lang w:val="en-US" w:eastAsia="zh-CN"/>
              </w:rPr>
              <w:t>产品亮点</w:t>
            </w:r>
          </w:p>
        </w:tc>
      </w:tr>
      <w:tr w14:paraId="64F5DE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0" w:type="dxa"/>
            <w:gridSpan w:val="22"/>
            <w:tcBorders>
              <w:top w:val="nil"/>
            </w:tcBorders>
            <w:noWrap w:val="0"/>
            <w:vAlign w:val="top"/>
          </w:tcPr>
          <w:p w14:paraId="622B5683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1BBDC3"/>
                <w:sz w:val="22"/>
                <w:szCs w:val="22"/>
                <w:lang w:val="en-US" w:eastAsia="zh-CN"/>
              </w:rPr>
              <w:t>品质保障，轻盈旅行</w:t>
            </w:r>
          </w:p>
        </w:tc>
      </w:tr>
      <w:tr w14:paraId="7E80E7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</w:trPr>
        <w:tc>
          <w:tcPr>
            <w:tcW w:w="10560" w:type="dxa"/>
            <w:gridSpan w:val="22"/>
            <w:noWrap w:val="0"/>
            <w:vAlign w:val="top"/>
          </w:tcPr>
          <w:p w14:paraId="396388E4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ind w:left="-360" w:leftChars="0" w:firstLine="381" w:firstLineChars="200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高山草甸与天上花海</w:t>
            </w:r>
          </w:p>
          <w:p w14:paraId="2CA6AF8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✮乌蒙大草原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：西南地区海拔最高的草原，10万亩草场、风车、云海、佛光，体验"会当凌绝顶"的壮阔。</w:t>
            </w:r>
          </w:p>
          <w:p w14:paraId="278D9624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✮韭菜坪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（乌蒙之巅）：贵州屋脊，世界上最大面积的野生韭菜花带，夏秋季节紫色花海与云雾交织，宛如"天上花海"。</w:t>
            </w:r>
          </w:p>
          <w:p w14:paraId="663A5667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ind w:left="-360" w:leftChars="0" w:firstLine="381" w:firstLineChars="200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民族文化深度体验</w:t>
            </w:r>
          </w:p>
          <w:p w14:paraId="20BCE27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✮海坪彝族小镇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：走进"千户彝寨"，看土司庄园、太阳历广场，感受浓郁的彝族风情。</w:t>
            </w:r>
          </w:p>
          <w:p w14:paraId="4D25143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✮峰林布依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：在兴义峰林深处体验布依族村寨的静谧与原生文化。</w:t>
            </w:r>
          </w:p>
          <w:p w14:paraId="7DB35DB9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ind w:left="-360" w:leftChars="0" w:firstLine="381" w:firstLineChars="200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山水喀斯特精华</w:t>
            </w:r>
          </w:p>
          <w:p w14:paraId="1A17D62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✮万峰林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：中国最美峰林之一，八卦田与布依村寨构成绝美田园画卷。</w:t>
            </w:r>
          </w:p>
          <w:p w14:paraId="2213016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✮马岭河峡谷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："地球上最美丽的疤痕"，瀑布群与钙化岩壁的视觉盛宴。</w:t>
            </w:r>
          </w:p>
          <w:p w14:paraId="018A0425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✮万峰湖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：喀斯特地貌上的高原湖泊，游船穿行于万峰之间。</w:t>
            </w:r>
          </w:p>
          <w:p w14:paraId="13A15E48">
            <w:pPr>
              <w:keepNext w:val="0"/>
              <w:keepLines w:val="0"/>
              <w:pageBreakBefore w:val="0"/>
              <w:widowControl/>
              <w:numPr>
                <w:ilvl w:val="0"/>
                <w:numId w:val="1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ind w:left="-360" w:leftChars="0" w:firstLine="381" w:firstLineChars="200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 xml:space="preserve"> 城市记忆与工业遗存</w:t>
            </w:r>
          </w:p>
          <w:p w14:paraId="288DAD83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✮三线建设博物馆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：重温"三线"历史，感受那个年代的奋斗记忆。</w:t>
            </w:r>
          </w:p>
          <w:p w14:paraId="79C54B01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✮水城古镇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：夜游古镇，品水城烙锅、羊肉粉，体验凉都烟火气。</w:t>
            </w:r>
          </w:p>
          <w:p w14:paraId="1DE23B02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✮阳光花谷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：兴义"后花园"，四季花海与酒厂历史交融。</w:t>
            </w:r>
          </w:p>
          <w:p w14:paraId="77A3BEE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5. 舌尖上的黔西南</w:t>
            </w:r>
          </w:p>
          <w:p w14:paraId="0D6D595A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</w:pPr>
            <w:r>
              <w:rPr>
                <w:rStyle w:val="7"/>
                <w:rFonts w:hint="eastAsia" w:ascii="宋体" w:hAnsi="宋体" w:eastAsia="宋体" w:cs="宋体"/>
                <w:b/>
                <w:bCs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✮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品尝彝族风味、布依八大碗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  <w:lang w:val="en-US" w:eastAsia="zh-CN"/>
              </w:rPr>
              <w:t>水城烙锅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</w:rPr>
              <w:t>等地道美食。</w:t>
            </w:r>
          </w:p>
          <w:p w14:paraId="432CE35F">
            <w:pPr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beforeAutospacing="1" w:after="100" w:afterAutospacing="1" w:line="0" w:lineRule="atLeast"/>
              <w:textAlignment w:val="auto"/>
              <w:rPr>
                <w:rFonts w:hint="eastAsia" w:ascii="宋体" w:hAnsi="宋体" w:eastAsia="宋体" w:cs="宋体"/>
                <w:i w:val="0"/>
                <w:iCs w:val="0"/>
                <w:caps w:val="0"/>
                <w:color w:val="0F1115"/>
                <w:spacing w:val="0"/>
                <w:sz w:val="19"/>
                <w:szCs w:val="19"/>
                <w:shd w:val="clear" w:color="auto" w:fill="FFFFFF"/>
                <w:lang w:val="en-US" w:eastAsia="zh-CN"/>
              </w:rPr>
            </w:pPr>
          </w:p>
        </w:tc>
      </w:tr>
      <w:tr w14:paraId="697B90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" w:hRule="atLeast"/>
        </w:trPr>
        <w:tc>
          <w:tcPr>
            <w:tcW w:w="10560" w:type="dxa"/>
            <w:gridSpan w:val="22"/>
            <w:shd w:val="clear" w:color="auto" w:fill="23A3BC"/>
            <w:noWrap w:val="0"/>
            <w:vAlign w:val="top"/>
          </w:tcPr>
          <w:p w14:paraId="2A7885A5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kern w:val="2"/>
                <w:sz w:val="21"/>
                <w:szCs w:val="24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E599"/>
                <w:sz w:val="32"/>
                <w:szCs w:val="32"/>
                <w:highlight w:val="none"/>
                <w:vertAlign w:val="baseline"/>
                <w:lang w:val="en-US" w:eastAsia="zh-CN"/>
              </w:rPr>
              <w:t>行程一览</w:t>
            </w:r>
          </w:p>
        </w:tc>
      </w:tr>
      <w:tr w14:paraId="2203D1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824" w:type="dxa"/>
            <w:gridSpan w:val="3"/>
            <w:vMerge w:val="restart"/>
            <w:noWrap w:val="0"/>
            <w:vAlign w:val="center"/>
          </w:tcPr>
          <w:p w14:paraId="4F3897AE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日程</w:t>
            </w:r>
          </w:p>
        </w:tc>
        <w:tc>
          <w:tcPr>
            <w:tcW w:w="6224" w:type="dxa"/>
            <w:gridSpan w:val="12"/>
            <w:vMerge w:val="restart"/>
            <w:noWrap w:val="0"/>
            <w:vAlign w:val="center"/>
          </w:tcPr>
          <w:p w14:paraId="08145661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行程</w:t>
            </w:r>
          </w:p>
        </w:tc>
        <w:tc>
          <w:tcPr>
            <w:tcW w:w="2357" w:type="dxa"/>
            <w:gridSpan w:val="6"/>
            <w:noWrap w:val="0"/>
            <w:vAlign w:val="center"/>
          </w:tcPr>
          <w:p w14:paraId="2D1A392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餐程</w:t>
            </w:r>
          </w:p>
        </w:tc>
        <w:tc>
          <w:tcPr>
            <w:tcW w:w="1155" w:type="dxa"/>
            <w:vMerge w:val="restart"/>
            <w:noWrap w:val="0"/>
            <w:vAlign w:val="center"/>
          </w:tcPr>
          <w:p w14:paraId="1A32CFD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住宿</w:t>
            </w:r>
          </w:p>
        </w:tc>
      </w:tr>
      <w:tr w14:paraId="580CFA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824" w:type="dxa"/>
            <w:gridSpan w:val="3"/>
            <w:vMerge w:val="continue"/>
            <w:noWrap w:val="0"/>
            <w:vAlign w:val="center"/>
          </w:tcPr>
          <w:p w14:paraId="26CE4053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</w:rPr>
            </w:pPr>
          </w:p>
        </w:tc>
        <w:tc>
          <w:tcPr>
            <w:tcW w:w="6224" w:type="dxa"/>
            <w:gridSpan w:val="12"/>
            <w:vMerge w:val="continue"/>
            <w:noWrap w:val="0"/>
            <w:vAlign w:val="center"/>
          </w:tcPr>
          <w:p w14:paraId="0171FAE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</w:rPr>
            </w:pPr>
          </w:p>
        </w:tc>
        <w:tc>
          <w:tcPr>
            <w:tcW w:w="919" w:type="dxa"/>
            <w:noWrap w:val="0"/>
            <w:vAlign w:val="center"/>
          </w:tcPr>
          <w:p w14:paraId="3C95D7B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早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0D24905F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中</w:t>
            </w:r>
          </w:p>
        </w:tc>
        <w:tc>
          <w:tcPr>
            <w:tcW w:w="658" w:type="dxa"/>
            <w:noWrap w:val="0"/>
            <w:vAlign w:val="center"/>
          </w:tcPr>
          <w:p w14:paraId="7966D408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  <w:t>晚</w:t>
            </w:r>
          </w:p>
        </w:tc>
        <w:tc>
          <w:tcPr>
            <w:tcW w:w="1155" w:type="dxa"/>
            <w:vMerge w:val="continue"/>
            <w:noWrap w:val="0"/>
            <w:vAlign w:val="center"/>
          </w:tcPr>
          <w:p w14:paraId="2F4F6547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</w:p>
        </w:tc>
      </w:tr>
      <w:tr w14:paraId="754C25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24" w:type="dxa"/>
            <w:gridSpan w:val="3"/>
            <w:noWrap w:val="0"/>
            <w:vAlign w:val="center"/>
          </w:tcPr>
          <w:p w14:paraId="26DB42FB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Day1</w:t>
            </w:r>
          </w:p>
        </w:tc>
        <w:tc>
          <w:tcPr>
            <w:tcW w:w="6224" w:type="dxa"/>
            <w:gridSpan w:val="12"/>
            <w:noWrap w:val="0"/>
            <w:vAlign w:val="center"/>
          </w:tcPr>
          <w:p w14:paraId="627B28D5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六盘水接-三线建设博物馆-水城古镇—住六盘水</w:t>
            </w:r>
          </w:p>
        </w:tc>
        <w:tc>
          <w:tcPr>
            <w:tcW w:w="919" w:type="dxa"/>
            <w:noWrap w:val="0"/>
            <w:vAlign w:val="center"/>
          </w:tcPr>
          <w:p w14:paraId="5C2BB928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×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3FB5421B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×</w:t>
            </w:r>
          </w:p>
        </w:tc>
        <w:tc>
          <w:tcPr>
            <w:tcW w:w="658" w:type="dxa"/>
            <w:noWrap w:val="0"/>
            <w:vAlign w:val="center"/>
          </w:tcPr>
          <w:p w14:paraId="05790572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1155" w:type="dxa"/>
            <w:noWrap w:val="0"/>
            <w:vAlign w:val="center"/>
          </w:tcPr>
          <w:p w14:paraId="5806B1DC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六盘水</w:t>
            </w:r>
          </w:p>
        </w:tc>
      </w:tr>
      <w:tr w14:paraId="5DF75E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24" w:type="dxa"/>
            <w:gridSpan w:val="3"/>
            <w:noWrap w:val="0"/>
            <w:vAlign w:val="center"/>
          </w:tcPr>
          <w:p w14:paraId="1DDE2947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Day2</w:t>
            </w:r>
          </w:p>
        </w:tc>
        <w:tc>
          <w:tcPr>
            <w:tcW w:w="6224" w:type="dxa"/>
            <w:gridSpan w:val="12"/>
            <w:noWrap w:val="0"/>
            <w:vAlign w:val="center"/>
          </w:tcPr>
          <w:p w14:paraId="72D991BE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六盘水-乌蒙之巅韭菜坪-海坪彝族小镇-住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六盘水</w:t>
            </w:r>
          </w:p>
        </w:tc>
        <w:tc>
          <w:tcPr>
            <w:tcW w:w="919" w:type="dxa"/>
            <w:noWrap w:val="0"/>
            <w:vAlign w:val="center"/>
          </w:tcPr>
          <w:p w14:paraId="48860227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3FF677B7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658" w:type="dxa"/>
            <w:noWrap w:val="0"/>
            <w:vAlign w:val="center"/>
          </w:tcPr>
          <w:p w14:paraId="0A60E51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1155" w:type="dxa"/>
            <w:noWrap w:val="0"/>
            <w:vAlign w:val="center"/>
          </w:tcPr>
          <w:p w14:paraId="64B56B31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六盘水</w:t>
            </w:r>
          </w:p>
        </w:tc>
      </w:tr>
      <w:tr w14:paraId="15C466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24" w:type="dxa"/>
            <w:gridSpan w:val="3"/>
            <w:noWrap w:val="0"/>
            <w:vAlign w:val="center"/>
          </w:tcPr>
          <w:p w14:paraId="31EC69CA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Day3</w:t>
            </w:r>
          </w:p>
        </w:tc>
        <w:tc>
          <w:tcPr>
            <w:tcW w:w="6224" w:type="dxa"/>
            <w:gridSpan w:val="12"/>
            <w:noWrap w:val="0"/>
            <w:vAlign w:val="center"/>
          </w:tcPr>
          <w:p w14:paraId="28F71A30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六盘水-</w:t>
            </w:r>
            <w:r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乌蒙大草原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-</w:t>
            </w:r>
            <w:r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花江大桥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-住兴义</w:t>
            </w:r>
          </w:p>
        </w:tc>
        <w:tc>
          <w:tcPr>
            <w:tcW w:w="919" w:type="dxa"/>
            <w:noWrap w:val="0"/>
            <w:vAlign w:val="center"/>
          </w:tcPr>
          <w:p w14:paraId="5AAF3B2A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46FDD02A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658" w:type="dxa"/>
            <w:noWrap w:val="0"/>
            <w:vAlign w:val="center"/>
          </w:tcPr>
          <w:p w14:paraId="0875859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×</w:t>
            </w:r>
          </w:p>
        </w:tc>
        <w:tc>
          <w:tcPr>
            <w:tcW w:w="1155" w:type="dxa"/>
            <w:noWrap w:val="0"/>
            <w:vAlign w:val="center"/>
          </w:tcPr>
          <w:p w14:paraId="532089B0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兴义</w:t>
            </w:r>
          </w:p>
        </w:tc>
      </w:tr>
      <w:tr w14:paraId="5E6664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24" w:type="dxa"/>
            <w:gridSpan w:val="3"/>
            <w:noWrap w:val="0"/>
            <w:vAlign w:val="center"/>
          </w:tcPr>
          <w:p w14:paraId="3C6DDB9F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Day4</w:t>
            </w:r>
          </w:p>
        </w:tc>
        <w:tc>
          <w:tcPr>
            <w:tcW w:w="6224" w:type="dxa"/>
            <w:gridSpan w:val="12"/>
            <w:noWrap w:val="0"/>
            <w:vAlign w:val="center"/>
          </w:tcPr>
          <w:p w14:paraId="0F13B543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兴义-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万峰林-东峰林-万峰湖</w:t>
            </w:r>
            <w:r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-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-</w:t>
            </w:r>
            <w:r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峰林布依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-</w:t>
            </w:r>
            <w:r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住兴义</w:t>
            </w:r>
          </w:p>
        </w:tc>
        <w:tc>
          <w:tcPr>
            <w:tcW w:w="919" w:type="dxa"/>
            <w:noWrap w:val="0"/>
            <w:vAlign w:val="center"/>
          </w:tcPr>
          <w:p w14:paraId="4F05F5E8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1F997F4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658" w:type="dxa"/>
            <w:noWrap w:val="0"/>
            <w:vAlign w:val="center"/>
          </w:tcPr>
          <w:p w14:paraId="5097848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×</w:t>
            </w:r>
          </w:p>
        </w:tc>
        <w:tc>
          <w:tcPr>
            <w:tcW w:w="1155" w:type="dxa"/>
            <w:noWrap w:val="0"/>
            <w:vAlign w:val="center"/>
          </w:tcPr>
          <w:p w14:paraId="52C206C0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兴义</w:t>
            </w:r>
          </w:p>
        </w:tc>
      </w:tr>
      <w:tr w14:paraId="2E45BE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24" w:type="dxa"/>
            <w:gridSpan w:val="3"/>
            <w:noWrap w:val="0"/>
            <w:vAlign w:val="center"/>
          </w:tcPr>
          <w:p w14:paraId="62168AEF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Day5</w:t>
            </w:r>
          </w:p>
        </w:tc>
        <w:tc>
          <w:tcPr>
            <w:tcW w:w="6224" w:type="dxa"/>
            <w:gridSpan w:val="12"/>
            <w:noWrap w:val="0"/>
            <w:vAlign w:val="center"/>
          </w:tcPr>
          <w:p w14:paraId="6FB44230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兴义-马岭河峡谷-</w:t>
            </w: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刘氏庄园-兴义</w:t>
            </w:r>
          </w:p>
        </w:tc>
        <w:tc>
          <w:tcPr>
            <w:tcW w:w="919" w:type="dxa"/>
            <w:noWrap w:val="0"/>
            <w:vAlign w:val="center"/>
          </w:tcPr>
          <w:p w14:paraId="4007C31F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384DAF62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658" w:type="dxa"/>
            <w:noWrap w:val="0"/>
            <w:vAlign w:val="center"/>
          </w:tcPr>
          <w:p w14:paraId="5094650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1155" w:type="dxa"/>
            <w:noWrap w:val="0"/>
            <w:vAlign w:val="center"/>
          </w:tcPr>
          <w:p w14:paraId="62962B04">
            <w:pPr>
              <w:widowControl w:val="0"/>
              <w:bidi w:val="0"/>
              <w:jc w:val="center"/>
              <w:rPr>
                <w:rFonts w:hint="default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兴义</w:t>
            </w:r>
          </w:p>
        </w:tc>
      </w:tr>
      <w:tr w14:paraId="548A22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24" w:type="dxa"/>
            <w:gridSpan w:val="3"/>
            <w:noWrap w:val="0"/>
            <w:vAlign w:val="center"/>
          </w:tcPr>
          <w:p w14:paraId="467D0B6B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  <w:t>Day6</w:t>
            </w:r>
          </w:p>
        </w:tc>
        <w:tc>
          <w:tcPr>
            <w:tcW w:w="6224" w:type="dxa"/>
            <w:gridSpan w:val="12"/>
            <w:noWrap w:val="0"/>
            <w:vAlign w:val="center"/>
          </w:tcPr>
          <w:p w14:paraId="445B341F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兴义-送团</w:t>
            </w:r>
          </w:p>
        </w:tc>
        <w:tc>
          <w:tcPr>
            <w:tcW w:w="919" w:type="dxa"/>
            <w:noWrap w:val="0"/>
            <w:vAlign w:val="center"/>
          </w:tcPr>
          <w:p w14:paraId="6A4E515A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gridSpan w:val="4"/>
            <w:noWrap w:val="0"/>
            <w:vAlign w:val="center"/>
          </w:tcPr>
          <w:p w14:paraId="3AF0AF09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×</w:t>
            </w:r>
          </w:p>
        </w:tc>
        <w:tc>
          <w:tcPr>
            <w:tcW w:w="658" w:type="dxa"/>
            <w:noWrap w:val="0"/>
            <w:vAlign w:val="center"/>
          </w:tcPr>
          <w:p w14:paraId="3C4A644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×</w:t>
            </w:r>
          </w:p>
        </w:tc>
        <w:tc>
          <w:tcPr>
            <w:tcW w:w="1155" w:type="dxa"/>
            <w:noWrap w:val="0"/>
            <w:vAlign w:val="center"/>
          </w:tcPr>
          <w:p w14:paraId="4F6F22E1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2"/>
                <w:szCs w:val="22"/>
                <w:highlight w:val="none"/>
                <w:vertAlign w:val="baseline"/>
                <w:lang w:val="en-US" w:eastAsia="zh-CN"/>
              </w:rPr>
              <w:t>温馨的家</w:t>
            </w:r>
          </w:p>
        </w:tc>
      </w:tr>
      <w:tr w14:paraId="633B14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87" w:hRule="atLeast"/>
        </w:trPr>
        <w:tc>
          <w:tcPr>
            <w:tcW w:w="10560" w:type="dxa"/>
            <w:gridSpan w:val="22"/>
            <w:tcBorders>
              <w:top w:val="nil"/>
              <w:bottom w:val="single" w:color="auto" w:sz="4" w:space="0"/>
            </w:tcBorders>
            <w:shd w:val="clear" w:color="auto" w:fill="1E777D"/>
            <w:noWrap w:val="0"/>
            <w:vAlign w:val="top"/>
          </w:tcPr>
          <w:p w14:paraId="67B312A9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right="0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olor w:val="FFFFFF"/>
                <w:sz w:val="36"/>
                <w:szCs w:val="36"/>
                <w:lang w:val="en-US" w:eastAsia="zh-CN"/>
              </w:rPr>
            </w:pPr>
          </w:p>
          <w:p w14:paraId="5F162994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00" w:lineRule="exact"/>
              <w:ind w:right="0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FFFFFF"/>
                <w:sz w:val="36"/>
                <w:szCs w:val="36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FFFF"/>
                <w:sz w:val="36"/>
                <w:szCs w:val="36"/>
                <w:lang w:val="en-US" w:eastAsia="zh-CN"/>
              </w:rPr>
              <w:t>欢迎各位来到多彩贵州</w:t>
            </w:r>
          </w:p>
          <w:p w14:paraId="5582F2B6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left="0" w:right="0" w:firstLine="560" w:firstLineChars="20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FFFFFF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FFFFFF"/>
                <w:sz w:val="28"/>
                <w:szCs w:val="28"/>
                <w:lang w:val="en-US" w:eastAsia="zh-CN"/>
              </w:rPr>
              <w:t>这里是明代大儒王阳明盛赞“天下山水之秀聚于黔中”的贵州</w:t>
            </w:r>
          </w:p>
          <w:p w14:paraId="32895345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left="0" w:right="0" w:firstLine="560" w:firstLineChars="20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FFFFFF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FFFFFF"/>
                <w:sz w:val="28"/>
                <w:szCs w:val="28"/>
                <w:lang w:val="en-US" w:eastAsia="zh-CN"/>
              </w:rPr>
              <w:t>是唐代诗人孟郊写到“旧说天下山，半在黔中青”的贵州</w:t>
            </w:r>
          </w:p>
          <w:p w14:paraId="4A467B7A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00" w:lineRule="exact"/>
              <w:ind w:left="0" w:right="0" w:firstLine="560" w:firstLineChars="200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FFC000"/>
                <w:kern w:val="2"/>
                <w:sz w:val="24"/>
                <w:szCs w:val="24"/>
                <w:highlight w:val="none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FFFFFF"/>
                <w:sz w:val="28"/>
                <w:szCs w:val="28"/>
                <w:lang w:val="en-US" w:eastAsia="zh-CN"/>
              </w:rPr>
              <w:t>也是著名旅游家徐霞客感叹“天下山峰何其多，唯有此处峰成林”的贵州</w:t>
            </w:r>
          </w:p>
        </w:tc>
      </w:tr>
      <w:tr w14:paraId="2C192D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" w:hRule="atLeast"/>
        </w:trPr>
        <w:tc>
          <w:tcPr>
            <w:tcW w:w="10560" w:type="dxa"/>
            <w:gridSpan w:val="22"/>
            <w:tcBorders>
              <w:top w:val="single" w:color="auto" w:sz="4" w:space="0"/>
              <w:bottom w:val="single" w:color="auto" w:sz="4" w:space="0"/>
            </w:tcBorders>
            <w:shd w:val="clear" w:color="auto" w:fill="23A3BC"/>
            <w:noWrap w:val="0"/>
            <w:vAlign w:val="top"/>
          </w:tcPr>
          <w:p w14:paraId="4ADC24F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FFFFFF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E599"/>
                <w:sz w:val="32"/>
                <w:szCs w:val="32"/>
                <w:highlight w:val="none"/>
                <w:vertAlign w:val="baseline"/>
                <w:lang w:val="en-US" w:eastAsia="zh-CN"/>
              </w:rPr>
              <w:t>详细行程</w:t>
            </w:r>
          </w:p>
        </w:tc>
      </w:tr>
      <w:tr w14:paraId="29F01E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824" w:type="dxa"/>
            <w:gridSpan w:val="3"/>
            <w:vMerge w:val="restart"/>
            <w:tcBorders>
              <w:top w:val="single" w:color="auto" w:sz="4" w:space="0"/>
              <w:bottom w:val="single" w:color="auto" w:sz="4" w:space="0"/>
            </w:tcBorders>
            <w:noWrap w:val="0"/>
            <w:vAlign w:val="center"/>
          </w:tcPr>
          <w:p w14:paraId="6A1FAD7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  <w:t>D1</w:t>
            </w:r>
          </w:p>
        </w:tc>
        <w:tc>
          <w:tcPr>
            <w:tcW w:w="801" w:type="dxa"/>
            <w:gridSpan w:val="3"/>
            <w:tcBorders>
              <w:top w:val="single" w:color="auto" w:sz="4" w:space="0"/>
              <w:bottom w:val="single" w:color="auto" w:sz="4" w:space="0"/>
            </w:tcBorders>
            <w:noWrap w:val="0"/>
            <w:vAlign w:val="center"/>
          </w:tcPr>
          <w:p w14:paraId="3F359E4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行程</w:t>
            </w:r>
          </w:p>
        </w:tc>
        <w:tc>
          <w:tcPr>
            <w:tcW w:w="8935" w:type="dxa"/>
            <w:gridSpan w:val="16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43A99FEA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overflowPunct/>
              <w:topLinePunct w:val="0"/>
              <w:bidi w:val="0"/>
              <w:adjustRightInd/>
              <w:snapToGrid/>
              <w:spacing w:before="100" w:beforeAutospacing="0" w:after="0" w:afterAutospacing="0"/>
              <w:ind w:right="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六盘水接-三线建设博物馆-水城古镇</w:t>
            </w:r>
          </w:p>
        </w:tc>
      </w:tr>
      <w:tr w14:paraId="68AC47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" w:hRule="atLeast"/>
        </w:trPr>
        <w:tc>
          <w:tcPr>
            <w:tcW w:w="824" w:type="dxa"/>
            <w:gridSpan w:val="3"/>
            <w:vMerge w:val="continue"/>
            <w:tcBorders>
              <w:top w:val="single" w:color="auto" w:sz="4" w:space="0"/>
            </w:tcBorders>
            <w:noWrap w:val="0"/>
            <w:vAlign w:val="top"/>
          </w:tcPr>
          <w:p w14:paraId="2ADED538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801" w:type="dxa"/>
            <w:gridSpan w:val="3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4B0627B5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用餐</w:t>
            </w:r>
          </w:p>
        </w:tc>
        <w:tc>
          <w:tcPr>
            <w:tcW w:w="3456" w:type="dxa"/>
            <w:gridSpan w:val="7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43EC8902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早：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不含</w:t>
            </w:r>
          </w:p>
        </w:tc>
        <w:tc>
          <w:tcPr>
            <w:tcW w:w="3193" w:type="dxa"/>
            <w:gridSpan w:val="6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269F1A2F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中：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不含</w:t>
            </w:r>
          </w:p>
        </w:tc>
        <w:tc>
          <w:tcPr>
            <w:tcW w:w="2286" w:type="dxa"/>
            <w:gridSpan w:val="3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6E8CEB1E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晚：含</w:t>
            </w:r>
          </w:p>
        </w:tc>
      </w:tr>
      <w:tr w14:paraId="4269FA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824" w:type="dxa"/>
            <w:gridSpan w:val="3"/>
            <w:vMerge w:val="continue"/>
            <w:noWrap w:val="0"/>
            <w:vAlign w:val="top"/>
          </w:tcPr>
          <w:p w14:paraId="33E97075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801" w:type="dxa"/>
            <w:gridSpan w:val="3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4597A87E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住宿</w:t>
            </w:r>
          </w:p>
        </w:tc>
        <w:tc>
          <w:tcPr>
            <w:tcW w:w="8935" w:type="dxa"/>
            <w:gridSpan w:val="16"/>
            <w:tcBorders>
              <w:top w:val="single" w:color="auto" w:sz="4" w:space="0"/>
              <w:bottom w:val="single" w:color="auto" w:sz="4" w:space="0"/>
            </w:tcBorders>
            <w:noWrap w:val="0"/>
            <w:vAlign w:val="top"/>
          </w:tcPr>
          <w:p w14:paraId="3463EC44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六盘水</w:t>
            </w:r>
          </w:p>
        </w:tc>
      </w:tr>
      <w:tr w14:paraId="025D47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5" w:hRule="atLeast"/>
        </w:trPr>
        <w:tc>
          <w:tcPr>
            <w:tcW w:w="10560" w:type="dxa"/>
            <w:gridSpan w:val="22"/>
            <w:noWrap w:val="0"/>
            <w:vAlign w:val="top"/>
          </w:tcPr>
          <w:p w14:paraId="4946F429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beforeAutospacing="0" w:after="0" w:afterAutospacing="0" w:line="360" w:lineRule="exact"/>
              <w:ind w:left="0" w:right="0" w:firstLine="480" w:firstLineChars="200"/>
              <w:jc w:val="both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欢迎各位来到避暑之都六盘水。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乘车前往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【三线建设博物馆】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，位于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instrText xml:space="preserve"> HYPERLINK "https://baike.baidu.com/item/%E8%B4%B5%E5%B7%9E%E7%9C%81/20475641?fromModule=lemma_inlink" \t "https://baike.baidu.com/item/%E8%B4%B5%E5%B7%9E%E4%B8%89%E7%BA%BF%E5%BB%BA%E8%AE%BE%E5%8D%9A%E7%89%A9%E9%A6%86/_blank" </w:instrTex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贵州省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end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instrText xml:space="preserve"> HYPERLINK "https://baike.baidu.com/item/%E5%85%AD%E7%9B%98%E6%B0%B4%E5%B8%82/485242?fromModule=lemma_inlink" \t "https://baike.baidu.com/item/%E8%B4%B5%E5%B7%9E%E4%B8%89%E7%BA%BF%E5%BB%BA%E8%AE%BE%E5%8D%9A%E7%89%A9%E9%A6%86/_blank" </w:instrTex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六盘水市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end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begin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instrText xml:space="preserve"> HYPERLINK "https://baike.baidu.com/item/%E9%92%9F%E5%B1%B1%E5%8C%BA/9761653?fromModule=lemma_inlink" \t "https://baike.baidu.com/item/%E8%B4%B5%E5%B7%9E%E4%B8%89%E7%BA%BF%E5%BB%BA%E8%AE%BE%E5%8D%9A%E7%89%A9%E9%A6%86/_blank" </w:instrTex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separate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钟山区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fldChar w:fldCharType="end"/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荷城社区水城古镇，是中国第一家以“三线文化”为主题的博物馆，拥有主楼博物馆、两个室内展馆和三线广场、思源广场两个室外展区，以及三线工业体验馆。主楼展区分为序厅、人民礼堂、主楼展厅三大区域，其中三层主楼展区分为战略决策、群英会战、艰苦创业、磅礴征程、辉煌成果、亲切关怀、宏图大展七个展厅。馆内收藏了三线建设时期极具代表性的生产工具、生活用具以及历史文献、歌曲、图片等，馆藏文物文献资料21349件（套），室外展区主要展出蒸汽机车、解放牌汽车等大型实物。 贵州三线建设博物馆已成为六盘水市城市文化地标、城市名片，被命名为中国华侨国际文化交流基地、全国关心下一代党史国史教育基地、全国爱国主义教育示范基地，为国家AAAA级旅游景区。</w:t>
            </w:r>
          </w:p>
          <w:p w14:paraId="45E086B4">
            <w:pPr>
              <w:pStyle w:val="3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beforeAutospacing="0" w:after="0" w:afterAutospacing="0" w:line="360" w:lineRule="exact"/>
              <w:ind w:left="0" w:right="0" w:firstLine="480" w:firstLineChars="200"/>
              <w:jc w:val="both"/>
              <w:textAlignment w:val="auto"/>
              <w:rPr>
                <w:rFonts w:hint="default" w:ascii="宋体" w:hAnsi="宋体" w:eastAsia="宋体" w:cs="宋体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lang w:val="en-US" w:eastAsia="zh-CN" w:bidi="ar-SA"/>
              </w:rPr>
              <w:t>之后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前往游览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【水城古镇】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，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lang w:val="en-US" w:eastAsia="zh-CN" w:bidi="ar-SA"/>
              </w:rPr>
              <w:t>始建于清雍正十年，至今已有280余年的历史，保留着典雅庄重的水墨丹青，沉淀着历史浓厚的古朴气。游玩后前往酒店休息。</w:t>
            </w:r>
          </w:p>
        </w:tc>
      </w:tr>
      <w:tr w14:paraId="6E3027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5" w:hRule="atLeast"/>
        </w:trPr>
        <w:tc>
          <w:tcPr>
            <w:tcW w:w="792" w:type="dxa"/>
            <w:gridSpan w:val="2"/>
            <w:vMerge w:val="restart"/>
            <w:noWrap w:val="0"/>
            <w:vAlign w:val="center"/>
          </w:tcPr>
          <w:p w14:paraId="1B764A0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  <w:t>D2</w:t>
            </w:r>
          </w:p>
        </w:tc>
        <w:tc>
          <w:tcPr>
            <w:tcW w:w="742" w:type="dxa"/>
            <w:gridSpan w:val="3"/>
            <w:noWrap w:val="0"/>
            <w:vAlign w:val="center"/>
          </w:tcPr>
          <w:p w14:paraId="560BEB5F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行程</w:t>
            </w:r>
          </w:p>
        </w:tc>
        <w:tc>
          <w:tcPr>
            <w:tcW w:w="9026" w:type="dxa"/>
            <w:gridSpan w:val="17"/>
            <w:noWrap w:val="0"/>
            <w:vAlign w:val="top"/>
          </w:tcPr>
          <w:p w14:paraId="138EACD0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六盘水-乌蒙之巅韭菜坪-海坪彝族小镇</w:t>
            </w:r>
          </w:p>
        </w:tc>
      </w:tr>
      <w:tr w14:paraId="613C6F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792" w:type="dxa"/>
            <w:gridSpan w:val="2"/>
            <w:vMerge w:val="continue"/>
            <w:noWrap w:val="0"/>
            <w:vAlign w:val="top"/>
          </w:tcPr>
          <w:p w14:paraId="701C869A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742" w:type="dxa"/>
            <w:gridSpan w:val="3"/>
            <w:noWrap w:val="0"/>
            <w:vAlign w:val="top"/>
          </w:tcPr>
          <w:p w14:paraId="2E5D3142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用餐</w:t>
            </w:r>
          </w:p>
        </w:tc>
        <w:tc>
          <w:tcPr>
            <w:tcW w:w="3475" w:type="dxa"/>
            <w:gridSpan w:val="7"/>
            <w:noWrap w:val="0"/>
            <w:vAlign w:val="top"/>
          </w:tcPr>
          <w:p w14:paraId="486B7FBC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早：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含</w:t>
            </w:r>
          </w:p>
        </w:tc>
        <w:tc>
          <w:tcPr>
            <w:tcW w:w="3236" w:type="dxa"/>
            <w:gridSpan w:val="6"/>
            <w:noWrap w:val="0"/>
            <w:vAlign w:val="top"/>
          </w:tcPr>
          <w:p w14:paraId="745DD47B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中：含</w:t>
            </w:r>
          </w:p>
        </w:tc>
        <w:tc>
          <w:tcPr>
            <w:tcW w:w="2315" w:type="dxa"/>
            <w:gridSpan w:val="4"/>
            <w:noWrap w:val="0"/>
            <w:vAlign w:val="top"/>
          </w:tcPr>
          <w:p w14:paraId="5C8ECB63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晚：含</w:t>
            </w:r>
          </w:p>
        </w:tc>
      </w:tr>
      <w:tr w14:paraId="2288A2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" w:hRule="atLeast"/>
        </w:trPr>
        <w:tc>
          <w:tcPr>
            <w:tcW w:w="792" w:type="dxa"/>
            <w:gridSpan w:val="2"/>
            <w:vMerge w:val="continue"/>
            <w:noWrap w:val="0"/>
            <w:vAlign w:val="top"/>
          </w:tcPr>
          <w:p w14:paraId="60D44A9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742" w:type="dxa"/>
            <w:gridSpan w:val="3"/>
            <w:noWrap w:val="0"/>
            <w:vAlign w:val="top"/>
          </w:tcPr>
          <w:p w14:paraId="7EF63ACF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住宿</w:t>
            </w:r>
          </w:p>
        </w:tc>
        <w:tc>
          <w:tcPr>
            <w:tcW w:w="9026" w:type="dxa"/>
            <w:gridSpan w:val="17"/>
            <w:noWrap w:val="0"/>
            <w:vAlign w:val="top"/>
          </w:tcPr>
          <w:p w14:paraId="5115FD72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六盘水</w:t>
            </w:r>
          </w:p>
        </w:tc>
      </w:tr>
      <w:tr w14:paraId="6E8A31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10560" w:type="dxa"/>
            <w:gridSpan w:val="22"/>
            <w:noWrap w:val="0"/>
            <w:vAlign w:val="top"/>
          </w:tcPr>
          <w:p w14:paraId="69B9BE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早餐后乘车前往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【乌蒙之巅韭菜坪】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lang w:val="en-US" w:eastAsia="zh-CN" w:bidi="ar"/>
              </w:rPr>
              <w:t>，主峰海拔2900.6米，是贵州最高峰，全年平均气温在17.8－22.4℃之间，素有“乌蒙之巅·贵州屋脊”之称。登上山顶放眼四周，乌蒙磅磷的气势尽收眼底，景区内野韭菜，高山洞穴、天坑等地质奇观及自然景观极具观赏价值和科考价值，是贵州久负盛名的露营基地。</w:t>
            </w:r>
          </w:p>
          <w:p w14:paraId="39ADEC9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default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乘车前往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【海坪彝族小镇】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，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以彝族文化风情为主题建立的小镇，建筑很有民族特色。这里有一个千古彝寨，2018年这里还登上了《中国国家地理》。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以“红土墙，茅草顶”的彝族风情特色为主，凸显民族文化氛围。游览结束后乘车前往兴义入住酒店。</w:t>
            </w:r>
          </w:p>
        </w:tc>
      </w:tr>
      <w:tr w14:paraId="6574C9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3540" w:type="dxa"/>
            <w:gridSpan w:val="8"/>
            <w:noWrap w:val="0"/>
            <w:vAlign w:val="top"/>
          </w:tcPr>
          <w:p w14:paraId="3EB98631">
            <w:pPr>
              <w:widowControl w:val="0"/>
              <w:jc w:val="center"/>
              <w:rPr>
                <w:rFonts w:hint="eastAsia" w:ascii="宋体" w:hAnsi="宋体" w:eastAsia="宋体" w:cs="宋体"/>
                <w:color w:val="C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160270" cy="1440180"/>
                  <wp:effectExtent l="0" t="0" r="11430" b="7620"/>
                  <wp:docPr id="3" name="图片 6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6" descr="IMG_25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gridSpan w:val="6"/>
            <w:noWrap w:val="0"/>
            <w:vAlign w:val="top"/>
          </w:tcPr>
          <w:p w14:paraId="0A321377">
            <w:pPr>
              <w:widowControl w:val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226310" cy="1442720"/>
                  <wp:effectExtent l="0" t="0" r="8890" b="5080"/>
                  <wp:docPr id="21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6310" cy="1442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gridSpan w:val="8"/>
            <w:noWrap w:val="0"/>
            <w:vAlign w:val="top"/>
          </w:tcPr>
          <w:p w14:paraId="502465BA">
            <w:pPr>
              <w:widowControl w:val="0"/>
              <w:jc w:val="both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</w:rPr>
              <w:drawing>
                <wp:inline distT="0" distB="0" distL="114300" distR="114300">
                  <wp:extent cx="2160270" cy="1440180"/>
                  <wp:effectExtent l="0" t="0" r="11430" b="7620"/>
                  <wp:docPr id="14" name="图片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27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91A6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792" w:type="dxa"/>
            <w:gridSpan w:val="2"/>
            <w:vMerge w:val="restart"/>
            <w:noWrap w:val="0"/>
            <w:vAlign w:val="center"/>
          </w:tcPr>
          <w:p w14:paraId="368374C5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  <w:t>D3</w:t>
            </w:r>
          </w:p>
        </w:tc>
        <w:tc>
          <w:tcPr>
            <w:tcW w:w="742" w:type="dxa"/>
            <w:gridSpan w:val="3"/>
            <w:noWrap w:val="0"/>
            <w:vAlign w:val="center"/>
          </w:tcPr>
          <w:p w14:paraId="0A8646D9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行程</w:t>
            </w:r>
          </w:p>
        </w:tc>
        <w:tc>
          <w:tcPr>
            <w:tcW w:w="9026" w:type="dxa"/>
            <w:gridSpan w:val="17"/>
            <w:noWrap w:val="0"/>
            <w:vAlign w:val="top"/>
          </w:tcPr>
          <w:p w14:paraId="53AB9B2D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六盘水-乌蒙大草原-花江大桥-兴义</w:t>
            </w:r>
          </w:p>
        </w:tc>
      </w:tr>
      <w:tr w14:paraId="5853C6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792" w:type="dxa"/>
            <w:gridSpan w:val="2"/>
            <w:vMerge w:val="continue"/>
            <w:noWrap w:val="0"/>
            <w:vAlign w:val="top"/>
          </w:tcPr>
          <w:p w14:paraId="49B17E46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742" w:type="dxa"/>
            <w:gridSpan w:val="3"/>
            <w:noWrap w:val="0"/>
            <w:vAlign w:val="top"/>
          </w:tcPr>
          <w:p w14:paraId="3DE1B8D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用餐</w:t>
            </w:r>
          </w:p>
        </w:tc>
        <w:tc>
          <w:tcPr>
            <w:tcW w:w="3475" w:type="dxa"/>
            <w:gridSpan w:val="7"/>
            <w:noWrap w:val="0"/>
            <w:vAlign w:val="top"/>
          </w:tcPr>
          <w:p w14:paraId="52FB2551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早：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含</w:t>
            </w:r>
          </w:p>
        </w:tc>
        <w:tc>
          <w:tcPr>
            <w:tcW w:w="3236" w:type="dxa"/>
            <w:gridSpan w:val="6"/>
            <w:noWrap w:val="0"/>
            <w:vAlign w:val="top"/>
          </w:tcPr>
          <w:p w14:paraId="49690959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中：含</w:t>
            </w:r>
          </w:p>
        </w:tc>
        <w:tc>
          <w:tcPr>
            <w:tcW w:w="2315" w:type="dxa"/>
            <w:gridSpan w:val="4"/>
            <w:noWrap w:val="0"/>
            <w:vAlign w:val="top"/>
          </w:tcPr>
          <w:p w14:paraId="724E7D4E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lang w:val="en-US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晚：不含</w:t>
            </w:r>
          </w:p>
        </w:tc>
      </w:tr>
      <w:tr w14:paraId="6D26C63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792" w:type="dxa"/>
            <w:gridSpan w:val="2"/>
            <w:vMerge w:val="continue"/>
            <w:noWrap w:val="0"/>
            <w:vAlign w:val="top"/>
          </w:tcPr>
          <w:p w14:paraId="4055219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742" w:type="dxa"/>
            <w:gridSpan w:val="3"/>
            <w:noWrap w:val="0"/>
            <w:vAlign w:val="top"/>
          </w:tcPr>
          <w:p w14:paraId="3E975E21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住宿</w:t>
            </w:r>
          </w:p>
        </w:tc>
        <w:tc>
          <w:tcPr>
            <w:tcW w:w="9026" w:type="dxa"/>
            <w:gridSpan w:val="17"/>
            <w:noWrap w:val="0"/>
            <w:vAlign w:val="top"/>
          </w:tcPr>
          <w:p w14:paraId="35753F88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兴义</w:t>
            </w:r>
          </w:p>
        </w:tc>
      </w:tr>
      <w:tr w14:paraId="0F9A53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5" w:hRule="atLeast"/>
        </w:trPr>
        <w:tc>
          <w:tcPr>
            <w:tcW w:w="10560" w:type="dxa"/>
            <w:gridSpan w:val="22"/>
            <w:noWrap w:val="0"/>
            <w:vAlign w:val="top"/>
          </w:tcPr>
          <w:p w14:paraId="2BEACD4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早餐后乘车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前往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【乌蒙大草原】（不含乌蒙大草原观光车）</w:t>
            </w: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，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乌蒙大草原景区有10万亩草场、4万亩矮脚杜鹃，还有长海子、云海佛光、悬崖峭壁、吴王扎营山、管家老岩、银厂口子以及彝族风情等独特的自然和人文景观。 这里不止有杜鹃花，还有草原、牛羊、蓝天、白云、全羊汤锅、烤全羊，每一处花海、每一种美食、每一种活动体验都能满足你的奇思妙想。</w:t>
            </w:r>
          </w:p>
          <w:p w14:paraId="1AC25B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前往打卡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【花江峡谷大桥】（服务区观景台远观打卡）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花江峡谷大桥位于贵州黔西南，于2025年9月28日建成通车。大桥全长2890米，主跨径1420米，桥面距水面垂直高度达625米，因主跨径和高度均居世界第一，被誉为“横竖都是世界第一”的高桥。它横跨被称为“地球裂缝”的花江大峡谷，将两岸通行时间从2小时缩短至2分钟。大桥不仅是交通要道，更是一个桥旅融合综合体，游客可体验高空蹦极、云端咖啡厅等项目，感受“上触云海、下瞰峡谷”的独特景观。</w:t>
            </w:r>
          </w:p>
          <w:p w14:paraId="0CC3E22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default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游览结束后，入住酒店休息。</w:t>
            </w:r>
          </w:p>
        </w:tc>
      </w:tr>
      <w:tr w14:paraId="142691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3" w:hRule="atLeast"/>
        </w:trPr>
        <w:tc>
          <w:tcPr>
            <w:tcW w:w="3589" w:type="dxa"/>
            <w:gridSpan w:val="9"/>
            <w:noWrap w:val="0"/>
            <w:vAlign w:val="top"/>
          </w:tcPr>
          <w:p w14:paraId="40C6A191">
            <w:pPr>
              <w:widowControl w:val="0"/>
              <w:ind w:left="29" w:leftChars="-95" w:hanging="228" w:hangingChars="95"/>
              <w:jc w:val="center"/>
              <w:rPr>
                <w:rFonts w:hint="eastAsia" w:eastAsia="宋体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330450" cy="1545590"/>
                  <wp:effectExtent l="0" t="0" r="6350" b="3810"/>
                  <wp:docPr id="13" name="图片 7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7" descr="IMG_256"/>
                          <pic:cNvPicPr/>
                        </pic:nvPicPr>
                        <pic:blipFill>
                          <a:blip r:embed="rId19"/>
                          <a:srcRect l="21153" r="12543" b="16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450" cy="1545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9" w:type="dxa"/>
            <w:gridSpan w:val="6"/>
            <w:noWrap w:val="0"/>
            <w:vAlign w:val="top"/>
          </w:tcPr>
          <w:p w14:paraId="4DA87D4B">
            <w:pPr>
              <w:widowControl w:val="0"/>
              <w:ind w:left="29" w:leftChars="-95" w:hanging="228" w:hangingChars="95"/>
              <w:jc w:val="center"/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284095" cy="1558925"/>
                  <wp:effectExtent l="0" t="0" r="1905" b="3175"/>
                  <wp:docPr id="17" name="图片 17" descr="乌蒙 (1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乌蒙 (10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095" cy="155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2" w:type="dxa"/>
            <w:gridSpan w:val="7"/>
            <w:noWrap w:val="0"/>
            <w:vAlign w:val="top"/>
          </w:tcPr>
          <w:p w14:paraId="140403F0">
            <w:pPr>
              <w:widowControl w:val="0"/>
              <w:ind w:left="0" w:leftChars="-95" w:hanging="199" w:hangingChars="95"/>
              <w:jc w:val="center"/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271395" cy="1563370"/>
                  <wp:effectExtent l="0" t="0" r="1905" b="11430"/>
                  <wp:docPr id="27" name="图片 2" descr="4ac0385d6bc214bc66a8dcb621e2633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" descr="4ac0385d6bc214bc66a8dcb621e2633f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56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185E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" w:hRule="atLeast"/>
        </w:trPr>
        <w:tc>
          <w:tcPr>
            <w:tcW w:w="792" w:type="dxa"/>
            <w:gridSpan w:val="2"/>
            <w:vMerge w:val="restart"/>
            <w:noWrap w:val="0"/>
            <w:vAlign w:val="center"/>
          </w:tcPr>
          <w:p w14:paraId="3A7CB8FB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  <w:t>D4</w:t>
            </w:r>
          </w:p>
        </w:tc>
        <w:tc>
          <w:tcPr>
            <w:tcW w:w="742" w:type="dxa"/>
            <w:gridSpan w:val="3"/>
            <w:noWrap w:val="0"/>
            <w:vAlign w:val="center"/>
          </w:tcPr>
          <w:p w14:paraId="2BF1AFDF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行程</w:t>
            </w:r>
          </w:p>
        </w:tc>
        <w:tc>
          <w:tcPr>
            <w:tcW w:w="9026" w:type="dxa"/>
            <w:gridSpan w:val="17"/>
            <w:noWrap w:val="0"/>
            <w:vAlign w:val="top"/>
          </w:tcPr>
          <w:p w14:paraId="0C53ACCC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兴义-万峰林-东峰林-万峰湖-刘氏庄园</w:t>
            </w:r>
          </w:p>
        </w:tc>
      </w:tr>
      <w:tr w14:paraId="494CB0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6" w:hRule="atLeast"/>
        </w:trPr>
        <w:tc>
          <w:tcPr>
            <w:tcW w:w="792" w:type="dxa"/>
            <w:gridSpan w:val="2"/>
            <w:vMerge w:val="continue"/>
            <w:noWrap w:val="0"/>
            <w:vAlign w:val="top"/>
          </w:tcPr>
          <w:p w14:paraId="1CB096C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742" w:type="dxa"/>
            <w:gridSpan w:val="3"/>
            <w:noWrap w:val="0"/>
            <w:vAlign w:val="top"/>
          </w:tcPr>
          <w:p w14:paraId="1CAED9B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用餐</w:t>
            </w:r>
          </w:p>
        </w:tc>
        <w:tc>
          <w:tcPr>
            <w:tcW w:w="3475" w:type="dxa"/>
            <w:gridSpan w:val="7"/>
            <w:noWrap w:val="0"/>
            <w:vAlign w:val="top"/>
          </w:tcPr>
          <w:p w14:paraId="0CCD5C79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早：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含</w:t>
            </w:r>
          </w:p>
        </w:tc>
        <w:tc>
          <w:tcPr>
            <w:tcW w:w="3236" w:type="dxa"/>
            <w:gridSpan w:val="6"/>
            <w:noWrap w:val="0"/>
            <w:vAlign w:val="top"/>
          </w:tcPr>
          <w:p w14:paraId="7529810C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中：含</w:t>
            </w:r>
          </w:p>
        </w:tc>
        <w:tc>
          <w:tcPr>
            <w:tcW w:w="2315" w:type="dxa"/>
            <w:gridSpan w:val="4"/>
            <w:noWrap w:val="0"/>
            <w:vAlign w:val="top"/>
          </w:tcPr>
          <w:p w14:paraId="03604614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晚：含</w:t>
            </w:r>
          </w:p>
        </w:tc>
      </w:tr>
      <w:tr w14:paraId="149098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</w:trPr>
        <w:tc>
          <w:tcPr>
            <w:tcW w:w="792" w:type="dxa"/>
            <w:gridSpan w:val="2"/>
            <w:vMerge w:val="continue"/>
            <w:noWrap w:val="0"/>
            <w:vAlign w:val="top"/>
          </w:tcPr>
          <w:p w14:paraId="46A65CE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</w:pPr>
          </w:p>
        </w:tc>
        <w:tc>
          <w:tcPr>
            <w:tcW w:w="742" w:type="dxa"/>
            <w:gridSpan w:val="3"/>
            <w:noWrap w:val="0"/>
            <w:vAlign w:val="top"/>
          </w:tcPr>
          <w:p w14:paraId="233BCADE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住宿</w:t>
            </w:r>
          </w:p>
        </w:tc>
        <w:tc>
          <w:tcPr>
            <w:tcW w:w="9026" w:type="dxa"/>
            <w:gridSpan w:val="17"/>
            <w:noWrap w:val="0"/>
            <w:vAlign w:val="top"/>
          </w:tcPr>
          <w:p w14:paraId="3476BB8A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兴义</w:t>
            </w:r>
          </w:p>
        </w:tc>
      </w:tr>
      <w:tr w14:paraId="0F3F9A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0" w:hRule="atLeast"/>
        </w:trPr>
        <w:tc>
          <w:tcPr>
            <w:tcW w:w="10560" w:type="dxa"/>
            <w:gridSpan w:val="22"/>
            <w:noWrap w:val="0"/>
            <w:vAlign w:val="top"/>
          </w:tcPr>
          <w:p w14:paraId="0AB1CE9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早餐后前往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国家5A级景区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【</w:t>
            </w:r>
            <w:r>
              <w:rPr>
                <w:rFonts w:hint="eastAsia" w:ascii="宋体" w:hAnsi="宋体" w:eastAsia="宋体" w:cs="宋体"/>
                <w:b/>
                <w:bCs/>
                <w:color w:val="0070C0"/>
                <w:sz w:val="24"/>
                <w:szCs w:val="24"/>
                <w:lang w:val="en-US" w:eastAsia="zh-CN"/>
              </w:rPr>
              <w:t>万峰林】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（必消套餐包含万峰林观光车，不乘坐无法入内参观，敬请谅解）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，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位列“中国最美五大峰林”之三，以其独特的锥状喀斯特峰林地质奇观闻名于世，早在三百六十多年前，明代地理学家、旅行家徐霞客就曾到过万峰林，并留下“天下山峰何其多，惟有此处峰成林”的赞叹。被不少专家和游人誉为“天下奇观”。</w:t>
            </w:r>
          </w:p>
          <w:p w14:paraId="3158130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前往</w:t>
            </w: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snapToGrid w:val="0"/>
                <w:color w:val="2E75B5"/>
                <w:kern w:val="0"/>
                <w:sz w:val="24"/>
                <w:szCs w:val="24"/>
                <w:highlight w:val="none"/>
                <w:vertAlign w:val="baseline"/>
                <w:lang w:val="en-US" w:eastAsia="zh-CN" w:bidi="ar-SA"/>
              </w:rPr>
              <w:t>【</w:t>
            </w: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snapToGrid w:val="0"/>
                <w:color w:val="2E75B5"/>
                <w:kern w:val="0"/>
                <w:sz w:val="24"/>
                <w:szCs w:val="24"/>
                <w:highlight w:val="none"/>
                <w:vertAlign w:val="baseline"/>
                <w:lang w:val="en-US" w:eastAsia="zh-CN" w:bidi="ar-SA"/>
              </w:rPr>
              <w:t>东峰林</w:t>
            </w: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snapToGrid w:val="0"/>
                <w:color w:val="0070C0"/>
                <w:kern w:val="0"/>
                <w:sz w:val="24"/>
                <w:szCs w:val="24"/>
                <w:highlight w:val="none"/>
                <w:vertAlign w:val="baseline"/>
                <w:lang w:val="en-US" w:eastAsia="zh-CN" w:bidi="ar-SA"/>
              </w:rPr>
              <w:t>】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东峰林位于兴义市南部，是我国锥状喀斯特的杰出代表。东峰林观景台，是一处以展示国家非物质文化遗产布依族八音坐唱、布依族传统美食八大碗为主要业态的旅游景点，旅游服务基础设施为依山而建的布依族传统民居吊脚楼。八音坐唱、八大碗、传统民居展示，构成其景点特色，是一处完全的人文旅游景点。午餐品尝布依八大碗。</w:t>
            </w:r>
          </w:p>
          <w:p w14:paraId="509FCFF7">
            <w:pPr>
              <w:keepNext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前往国家4A级景区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【万峰湖】（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必消套餐包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含万峰湖游船，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不乘坐无法入内参观，敬请谅解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）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，素有“万峰之湖，西南之最，山水画卷”的美誉。万峰湖这秀丽壮美的自然风光，其水质也是十分优异，水体透明度高达2米以上，湖面波光浩渺、湖畔是丛丛雄壮的峰林，其美丽的景观一年四季皆适合游览。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lang w:val="en-US" w:eastAsia="zh-CN" w:bidi="ar-SA"/>
              </w:rPr>
              <w:t>游玩后返回酒店休息。</w:t>
            </w:r>
          </w:p>
          <w:p w14:paraId="45B1AF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乘车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lang w:val="en-US" w:eastAsia="zh-CN" w:bidi="ar"/>
              </w:rPr>
              <w:t>前往参观</w:t>
            </w:r>
            <w:r>
              <w:rPr>
                <w:rFonts w:hint="eastAsia" w:ascii="宋体" w:hAnsi="宋体" w:eastAsia="宋体" w:cs="宋体"/>
                <w:b/>
                <w:bCs/>
                <w:color w:val="0070C0"/>
                <w:kern w:val="0"/>
                <w:sz w:val="24"/>
                <w:szCs w:val="24"/>
                <w:lang w:val="en-US" w:eastAsia="zh-CN" w:bidi="ar"/>
              </w:rPr>
              <w:t>【刘氏庄园】</w:t>
            </w:r>
            <w:r>
              <w:rPr>
                <w:rFonts w:hint="eastAsia" w:ascii="宋体" w:hAnsi="宋体" w:eastAsia="宋体" w:cs="宋体"/>
                <w:color w:val="auto"/>
                <w:kern w:val="0"/>
                <w:sz w:val="24"/>
                <w:szCs w:val="24"/>
                <w:lang w:val="en-US" w:eastAsia="zh-CN" w:bidi="ar"/>
              </w:rPr>
              <w:t>，中国最大的屯堡式地主、军阀建筑群，为民国初年在贵州政坛显赫一时的督军、省长刘显世和游击队司令、滇黔边务督办刘显潜的故居。初建于清朝，到民国已成为全省最大的私家庄园，主体建筑至今基本保持原貌。</w:t>
            </w:r>
          </w:p>
        </w:tc>
      </w:tr>
      <w:tr w14:paraId="09D6AF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65" w:hRule="atLeast"/>
        </w:trPr>
        <w:tc>
          <w:tcPr>
            <w:tcW w:w="3520" w:type="dxa"/>
            <w:gridSpan w:val="7"/>
            <w:noWrap w:val="0"/>
            <w:vAlign w:val="top"/>
          </w:tcPr>
          <w:p w14:paraId="35C1A53E">
            <w:pPr>
              <w:widowControl w:val="0"/>
              <w:ind w:left="29" w:leftChars="-95" w:hanging="228" w:hangingChars="95"/>
              <w:jc w:val="center"/>
              <w:rPr>
                <w:rFonts w:hint="eastAsia" w:ascii="宋体" w:hAnsi="宋体" w:eastAsia="宋体" w:cs="宋体"/>
                <w:color w:val="C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335530" cy="1518285"/>
                  <wp:effectExtent l="0" t="0" r="1270" b="5715"/>
                  <wp:docPr id="7" name="图片 1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" descr="IMG_256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5530" cy="1518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gridSpan w:val="8"/>
            <w:noWrap w:val="0"/>
            <w:vAlign w:val="top"/>
          </w:tcPr>
          <w:p w14:paraId="0D79B24F">
            <w:pPr>
              <w:widowControl w:val="0"/>
              <w:ind w:left="29" w:leftChars="-95" w:hanging="228" w:hangingChars="95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294890" cy="1515745"/>
                  <wp:effectExtent l="0" t="0" r="3810" b="8255"/>
                  <wp:docPr id="2" name="图片 2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5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4890" cy="151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2" w:type="dxa"/>
            <w:gridSpan w:val="7"/>
            <w:noWrap w:val="0"/>
            <w:vAlign w:val="top"/>
          </w:tcPr>
          <w:p w14:paraId="5B1D92B4">
            <w:pPr>
              <w:widowControl w:val="0"/>
              <w:ind w:left="0" w:leftChars="-95" w:hanging="199" w:hangingChars="95"/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2275840" cy="1540510"/>
                  <wp:effectExtent l="0" t="0" r="10160" b="8890"/>
                  <wp:docPr id="19" name="图片 19" descr="刘氏庄园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刘氏庄园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840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DCDD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775" w:type="dxa"/>
            <w:vMerge w:val="restart"/>
            <w:noWrap w:val="0"/>
            <w:vAlign w:val="center"/>
          </w:tcPr>
          <w:p w14:paraId="34E1487B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  <w:t>D5</w:t>
            </w:r>
          </w:p>
        </w:tc>
        <w:tc>
          <w:tcPr>
            <w:tcW w:w="730" w:type="dxa"/>
            <w:gridSpan w:val="3"/>
            <w:noWrap w:val="0"/>
            <w:vAlign w:val="center"/>
          </w:tcPr>
          <w:p w14:paraId="2C9CE86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行程</w:t>
            </w:r>
          </w:p>
        </w:tc>
        <w:tc>
          <w:tcPr>
            <w:tcW w:w="9055" w:type="dxa"/>
            <w:gridSpan w:val="18"/>
            <w:noWrap w:val="0"/>
            <w:vAlign w:val="top"/>
          </w:tcPr>
          <w:p w14:paraId="384BCDF1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兴义-马岭河大峡谷-峰林布依-兴义</w:t>
            </w:r>
          </w:p>
        </w:tc>
      </w:tr>
      <w:tr w14:paraId="49777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775" w:type="dxa"/>
            <w:vMerge w:val="continue"/>
            <w:noWrap w:val="0"/>
            <w:vAlign w:val="top"/>
          </w:tcPr>
          <w:p w14:paraId="51F6D5F5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</w:p>
        </w:tc>
        <w:tc>
          <w:tcPr>
            <w:tcW w:w="730" w:type="dxa"/>
            <w:gridSpan w:val="3"/>
            <w:noWrap w:val="0"/>
            <w:vAlign w:val="top"/>
          </w:tcPr>
          <w:p w14:paraId="37821190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用餐</w:t>
            </w:r>
          </w:p>
        </w:tc>
        <w:tc>
          <w:tcPr>
            <w:tcW w:w="3476" w:type="dxa"/>
            <w:gridSpan w:val="6"/>
            <w:noWrap w:val="0"/>
            <w:vAlign w:val="top"/>
          </w:tcPr>
          <w:p w14:paraId="4369318E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早：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含</w:t>
            </w:r>
          </w:p>
        </w:tc>
        <w:tc>
          <w:tcPr>
            <w:tcW w:w="3255" w:type="dxa"/>
            <w:gridSpan w:val="7"/>
            <w:noWrap w:val="0"/>
            <w:vAlign w:val="top"/>
          </w:tcPr>
          <w:p w14:paraId="6F5C6D22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中：含</w:t>
            </w:r>
          </w:p>
        </w:tc>
        <w:tc>
          <w:tcPr>
            <w:tcW w:w="2324" w:type="dxa"/>
            <w:gridSpan w:val="5"/>
            <w:noWrap w:val="0"/>
            <w:vAlign w:val="top"/>
          </w:tcPr>
          <w:p w14:paraId="25F2F458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晚：不含</w:t>
            </w:r>
          </w:p>
        </w:tc>
      </w:tr>
      <w:tr w14:paraId="7AC45A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775" w:type="dxa"/>
            <w:vMerge w:val="continue"/>
            <w:noWrap w:val="0"/>
            <w:vAlign w:val="top"/>
          </w:tcPr>
          <w:p w14:paraId="3A4D053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</w:p>
        </w:tc>
        <w:tc>
          <w:tcPr>
            <w:tcW w:w="730" w:type="dxa"/>
            <w:gridSpan w:val="3"/>
            <w:noWrap w:val="0"/>
            <w:vAlign w:val="top"/>
          </w:tcPr>
          <w:p w14:paraId="39C9B972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住宿</w:t>
            </w:r>
          </w:p>
        </w:tc>
        <w:tc>
          <w:tcPr>
            <w:tcW w:w="9055" w:type="dxa"/>
            <w:gridSpan w:val="18"/>
            <w:noWrap w:val="0"/>
            <w:vAlign w:val="top"/>
          </w:tcPr>
          <w:p w14:paraId="0CAFC34F">
            <w:pPr>
              <w:widowControl w:val="0"/>
              <w:bidi w:val="0"/>
              <w:jc w:val="left"/>
              <w:rPr>
                <w:rFonts w:hint="default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兴义</w:t>
            </w:r>
          </w:p>
        </w:tc>
      </w:tr>
      <w:tr w14:paraId="161FDB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5" w:hRule="atLeast"/>
        </w:trPr>
        <w:tc>
          <w:tcPr>
            <w:tcW w:w="10560" w:type="dxa"/>
            <w:gridSpan w:val="22"/>
            <w:noWrap w:val="0"/>
            <w:vAlign w:val="top"/>
          </w:tcPr>
          <w:p w14:paraId="701246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前往国家4A级景区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【马岭河峡谷】（必消套餐包含马岭河电梯）</w:t>
            </w: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t>，</w:t>
            </w:r>
            <w:r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lang w:val="en-US" w:eastAsia="zh-CN" w:bidi="ar-SA"/>
              </w:rPr>
              <w:t>以自然风光的雄奇险峻、幽美壮阔著称，集中展示了云贵高原喀斯特地貌的典型特征，峡谷中的大裂缝全长70多公里，最深处有300多米，有“天下第一缝”、“地球上最美丽的伤痕”的美誉。天然神奇的大峡谷联结起了峰丛、峰林、石林、瀑布群、泉群、溶洞、钟乳石，依据地貌演进历史错落有致地排列着。</w:t>
            </w:r>
          </w:p>
          <w:p w14:paraId="111415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抵达后前往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【峰林布依】（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必消套餐包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含景区观光车，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sz w:val="24"/>
                <w:szCs w:val="24"/>
                <w:lang w:val="en-US" w:eastAsia="zh-CN"/>
              </w:rPr>
              <w:t>不乘坐无法入内参观，敬请谅解</w:t>
            </w:r>
            <w:r>
              <w:rPr>
                <w:rFonts w:hint="eastAsia" w:ascii="宋体" w:hAnsi="宋体" w:eastAsia="宋体" w:cs="宋体"/>
                <w:b/>
                <w:bCs/>
                <w:color w:val="2E75B5"/>
                <w:kern w:val="2"/>
                <w:sz w:val="24"/>
                <w:szCs w:val="24"/>
                <w:lang w:val="en-US" w:eastAsia="zh-CN" w:bidi="ar-SA"/>
              </w:rPr>
              <w:t>）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，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峰林布依坐落在黔西南州兴义市，这里孤峰、石笋、石芽、漏斗、溶洞等地貌景观交相辉映，同时以“水”为中心，依山建造了600余栋布依族民居建筑及配套建筑。这里不仅有大自然的鬼斧神工，还有独特的布依族文化!布依族的风情更是为这片士地增添了几分神秘与韵味。</w:t>
            </w:r>
          </w:p>
          <w:p w14:paraId="6718201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default" w:ascii="宋体" w:hAnsi="宋体" w:eastAsia="宋体" w:cs="宋体"/>
                <w:b w:val="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kern w:val="0"/>
                <w:sz w:val="24"/>
                <w:szCs w:val="24"/>
                <w:lang w:val="en-US" w:eastAsia="zh-CN" w:bidi="ar"/>
              </w:rPr>
              <w:t>后前往酒店休息</w:t>
            </w:r>
          </w:p>
        </w:tc>
      </w:tr>
      <w:tr w14:paraId="0FA534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64" w:hRule="atLeast"/>
        </w:trPr>
        <w:tc>
          <w:tcPr>
            <w:tcW w:w="3520" w:type="dxa"/>
            <w:gridSpan w:val="7"/>
            <w:noWrap w:val="0"/>
            <w:vAlign w:val="top"/>
          </w:tcPr>
          <w:p w14:paraId="4FDD77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201545" cy="1559560"/>
                  <wp:effectExtent l="0" t="0" r="8255" b="2540"/>
                  <wp:docPr id="11" name="图片 5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 descr="IMG_256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1545" cy="1559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  <w:gridSpan w:val="8"/>
            <w:noWrap w:val="0"/>
            <w:vAlign w:val="top"/>
          </w:tcPr>
          <w:p w14:paraId="6EABF1D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-25" w:leftChars="-95" w:hanging="174" w:hangingChars="83"/>
              <w:textAlignment w:val="auto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</w:rPr>
              <w:drawing>
                <wp:inline distT="0" distB="0" distL="114300" distR="114300">
                  <wp:extent cx="2299970" cy="1572260"/>
                  <wp:effectExtent l="0" t="0" r="11430" b="2540"/>
                  <wp:docPr id="15" name="图片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3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970" cy="1572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2" w:type="dxa"/>
            <w:gridSpan w:val="7"/>
            <w:noWrap w:val="0"/>
            <w:vAlign w:val="top"/>
          </w:tcPr>
          <w:p w14:paraId="3124BD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left="-25" w:leftChars="-95" w:hanging="174" w:hangingChars="83"/>
              <w:textAlignment w:val="auto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2314575" cy="1568450"/>
                  <wp:effectExtent l="0" t="0" r="9525" b="6350"/>
                  <wp:docPr id="20" name="图片 20" descr="660eb6e5c1d291668b2df85ffd482a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660eb6e5c1d291668b2df85ffd482a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575" cy="156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  <w:tr w14:paraId="0DAC67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</w:trPr>
        <w:tc>
          <w:tcPr>
            <w:tcW w:w="775" w:type="dxa"/>
            <w:vMerge w:val="restart"/>
            <w:noWrap w:val="0"/>
            <w:vAlign w:val="center"/>
          </w:tcPr>
          <w:p w14:paraId="72CF0B2E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52"/>
                <w:szCs w:val="52"/>
                <w:highlight w:val="none"/>
                <w:vertAlign w:val="baseline"/>
                <w:lang w:val="en-US" w:eastAsia="zh-CN"/>
              </w:rPr>
              <w:t>D6</w:t>
            </w:r>
          </w:p>
        </w:tc>
        <w:tc>
          <w:tcPr>
            <w:tcW w:w="730" w:type="dxa"/>
            <w:gridSpan w:val="3"/>
            <w:noWrap w:val="0"/>
            <w:vAlign w:val="center"/>
          </w:tcPr>
          <w:p w14:paraId="28AD1372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行程</w:t>
            </w:r>
          </w:p>
        </w:tc>
        <w:tc>
          <w:tcPr>
            <w:tcW w:w="9055" w:type="dxa"/>
            <w:gridSpan w:val="18"/>
            <w:noWrap w:val="0"/>
            <w:vAlign w:val="top"/>
          </w:tcPr>
          <w:p w14:paraId="484E19F9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2"/>
                <w:sz w:val="28"/>
                <w:szCs w:val="28"/>
                <w:highlight w:val="none"/>
                <w:vertAlign w:val="baseline"/>
                <w:lang w:val="en-US" w:eastAsia="zh-CN" w:bidi="ar-SA"/>
              </w:rPr>
              <w:t>兴义-送团</w:t>
            </w:r>
          </w:p>
        </w:tc>
      </w:tr>
      <w:tr w14:paraId="70564D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2" w:hRule="atLeast"/>
        </w:trPr>
        <w:tc>
          <w:tcPr>
            <w:tcW w:w="775" w:type="dxa"/>
            <w:vMerge w:val="continue"/>
            <w:noWrap w:val="0"/>
            <w:vAlign w:val="top"/>
          </w:tcPr>
          <w:p w14:paraId="70DCF10E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</w:p>
        </w:tc>
        <w:tc>
          <w:tcPr>
            <w:tcW w:w="730" w:type="dxa"/>
            <w:gridSpan w:val="3"/>
            <w:noWrap w:val="0"/>
            <w:vAlign w:val="center"/>
          </w:tcPr>
          <w:p w14:paraId="1CACFB33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用餐</w:t>
            </w:r>
          </w:p>
        </w:tc>
        <w:tc>
          <w:tcPr>
            <w:tcW w:w="3482" w:type="dxa"/>
            <w:gridSpan w:val="7"/>
            <w:noWrap w:val="0"/>
            <w:vAlign w:val="center"/>
          </w:tcPr>
          <w:p w14:paraId="0DB6D8B6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早：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含</w:t>
            </w:r>
          </w:p>
        </w:tc>
        <w:tc>
          <w:tcPr>
            <w:tcW w:w="3249" w:type="dxa"/>
            <w:gridSpan w:val="6"/>
            <w:noWrap w:val="0"/>
            <w:vAlign w:val="center"/>
          </w:tcPr>
          <w:p w14:paraId="1F09CF78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中：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不含</w:t>
            </w:r>
          </w:p>
        </w:tc>
        <w:tc>
          <w:tcPr>
            <w:tcW w:w="2324" w:type="dxa"/>
            <w:gridSpan w:val="5"/>
            <w:noWrap w:val="0"/>
            <w:vAlign w:val="center"/>
          </w:tcPr>
          <w:p w14:paraId="564A302A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晚：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  <w:t>不含</w:t>
            </w:r>
          </w:p>
        </w:tc>
      </w:tr>
      <w:tr w14:paraId="5A73E7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" w:hRule="atLeast"/>
        </w:trPr>
        <w:tc>
          <w:tcPr>
            <w:tcW w:w="775" w:type="dxa"/>
            <w:vMerge w:val="continue"/>
            <w:noWrap w:val="0"/>
            <w:vAlign w:val="top"/>
          </w:tcPr>
          <w:p w14:paraId="1B708BA4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</w:p>
        </w:tc>
        <w:tc>
          <w:tcPr>
            <w:tcW w:w="730" w:type="dxa"/>
            <w:gridSpan w:val="3"/>
            <w:noWrap w:val="0"/>
            <w:vAlign w:val="top"/>
          </w:tcPr>
          <w:p w14:paraId="2112764C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住宿</w:t>
            </w:r>
          </w:p>
        </w:tc>
        <w:tc>
          <w:tcPr>
            <w:tcW w:w="9055" w:type="dxa"/>
            <w:gridSpan w:val="18"/>
            <w:noWrap w:val="0"/>
            <w:vAlign w:val="top"/>
          </w:tcPr>
          <w:p w14:paraId="787F1338">
            <w:pPr>
              <w:widowControl w:val="0"/>
              <w:bidi w:val="0"/>
              <w:jc w:val="left"/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1"/>
                <w:lang w:val="en-US" w:eastAsia="zh-CN"/>
              </w:rPr>
              <w:t>温馨的家</w:t>
            </w:r>
          </w:p>
        </w:tc>
      </w:tr>
      <w:tr w14:paraId="606699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76" w:hRule="atLeast"/>
        </w:trPr>
        <w:tc>
          <w:tcPr>
            <w:tcW w:w="10560" w:type="dxa"/>
            <w:gridSpan w:val="22"/>
            <w:noWrap w:val="0"/>
            <w:vAlign w:val="top"/>
          </w:tcPr>
          <w:p w14:paraId="38D516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早餐之后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我社工作人员根据返程时间安排送飞机，结束愉快的旅程。</w:t>
            </w:r>
          </w:p>
          <w:p w14:paraId="37B21C1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 w:line="360" w:lineRule="exact"/>
              <w:ind w:firstLine="422" w:firstLineChars="200"/>
              <w:textAlignment w:val="auto"/>
              <w:rPr>
                <w:rFonts w:hint="eastAsia" w:ascii="宋体" w:hAnsi="宋体" w:eastAsia="宋体" w:cs="宋体"/>
                <w:b/>
                <w:bCs/>
                <w:color w:val="C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C00000"/>
                <w:sz w:val="21"/>
                <w:szCs w:val="21"/>
                <w:lang w:val="en-US" w:eastAsia="zh-CN"/>
              </w:rPr>
              <w:t>温馨提示：</w:t>
            </w:r>
          </w:p>
          <w:p w14:paraId="099A5F6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20" w:line="360" w:lineRule="exact"/>
              <w:ind w:firstLine="420" w:firstLineChars="200"/>
              <w:textAlignment w:val="auto"/>
              <w:rPr>
                <w:rFonts w:hint="eastAsia" w:ascii="宋体" w:hAnsi="宋体" w:eastAsia="宋体" w:cs="宋体"/>
                <w:color w:val="C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C00000"/>
                <w:sz w:val="21"/>
                <w:szCs w:val="21"/>
                <w:lang w:val="en-US" w:eastAsia="zh-CN"/>
              </w:rPr>
              <w:t>行程结束送团方式：提供统一送站，送站先后顺序由导游根据游客返程时间安排，烦请客人自行在机场、火车站、高铁站等候进站，自行办理登机牌。</w:t>
            </w:r>
          </w:p>
        </w:tc>
      </w:tr>
      <w:tr w14:paraId="7841D6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6" w:hRule="atLeast"/>
        </w:trPr>
        <w:tc>
          <w:tcPr>
            <w:tcW w:w="10560" w:type="dxa"/>
            <w:gridSpan w:val="22"/>
            <w:shd w:val="clear" w:color="auto" w:fill="23A3BC"/>
            <w:noWrap w:val="0"/>
            <w:vAlign w:val="top"/>
          </w:tcPr>
          <w:p w14:paraId="3ED85D5D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FFFFFF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E599"/>
                <w:sz w:val="32"/>
                <w:szCs w:val="32"/>
                <w:highlight w:val="none"/>
                <w:vertAlign w:val="baseline"/>
                <w:lang w:val="en-US" w:eastAsia="zh-CN"/>
              </w:rPr>
              <w:t>服务标准</w:t>
            </w:r>
          </w:p>
        </w:tc>
      </w:tr>
      <w:tr w14:paraId="451339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2" w:hRule="atLeast"/>
        </w:trPr>
        <w:tc>
          <w:tcPr>
            <w:tcW w:w="775" w:type="dxa"/>
            <w:noWrap w:val="0"/>
            <w:vAlign w:val="center"/>
          </w:tcPr>
          <w:p w14:paraId="1A7601E5"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/>
              <w:ind w:left="0" w:leftChars="0" w:right="0" w:rightChars="0"/>
              <w:jc w:val="both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</w:pPr>
          </w:p>
          <w:p w14:paraId="1917DD0C"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  <w:t>费用</w:t>
            </w:r>
          </w:p>
          <w:p w14:paraId="058712C2"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/>
                <w:bCs/>
                <w:color w:val="5B9BD5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  <w:t>包含</w:t>
            </w:r>
          </w:p>
        </w:tc>
        <w:tc>
          <w:tcPr>
            <w:tcW w:w="9785" w:type="dxa"/>
            <w:gridSpan w:val="21"/>
            <w:noWrap w:val="0"/>
            <w:vAlign w:val="center"/>
          </w:tcPr>
          <w:p w14:paraId="5C609B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1.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</w:rPr>
              <w:t>用车：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当地舒适旅游巴士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  <w:t>，一人一正座；</w:t>
            </w:r>
          </w:p>
          <w:p w14:paraId="7B3BC0F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2.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</w:rPr>
              <w:t>住宿：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3晚4钻酒店</w:t>
            </w:r>
            <w:r>
              <w:rPr>
                <w:rFonts w:hint="eastAsia" w:ascii="宋体" w:hAnsi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+2晚3钻酒店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；</w:t>
            </w:r>
          </w:p>
          <w:p w14:paraId="5C0E413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240" w:leftChars="0" w:hanging="240" w:hangingChars="1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3.用餐：5早7正餐（餐标30元/标，用餐人数不足10人或超过10人，菜品相应增加减少，餐不用不退）；</w:t>
            </w:r>
          </w:p>
          <w:p w14:paraId="468BAB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240" w:leftChars="0" w:hanging="240" w:hangingChars="1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4.门票：行程所列景点首道大门票；</w:t>
            </w:r>
          </w:p>
          <w:p w14:paraId="3C46D1B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240" w:leftChars="0" w:hanging="240" w:hangingChars="10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5.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</w:rPr>
              <w:t>导游：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eastAsia="zh-CN"/>
              </w:rPr>
              <w:t>当地持证优秀导游；</w:t>
            </w:r>
          </w:p>
          <w:p w14:paraId="55C607A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jc w:val="left"/>
              <w:textAlignment w:val="auto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6.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</w:rPr>
              <w:t>保险：旅行社责任险，不含旅游意外保险（建议购买旅游意外险）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eastAsia="zh-CN"/>
              </w:rPr>
              <w:t>。</w:t>
            </w:r>
          </w:p>
        </w:tc>
      </w:tr>
      <w:tr w14:paraId="2FFC4E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5" w:hRule="atLeast"/>
        </w:trPr>
        <w:tc>
          <w:tcPr>
            <w:tcW w:w="775" w:type="dxa"/>
            <w:noWrap w:val="0"/>
            <w:vAlign w:val="center"/>
          </w:tcPr>
          <w:p w14:paraId="5600F75B"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tabs>
                <w:tab w:val="left" w:pos="209"/>
              </w:tabs>
              <w:spacing w:before="0" w:beforeAutospacing="0" w:after="0" w:afterAutospacing="0"/>
              <w:ind w:left="0" w:leftChars="0" w:right="0" w:rightChars="0"/>
              <w:jc w:val="left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  <w:t>必消费用</w:t>
            </w:r>
          </w:p>
        </w:tc>
        <w:tc>
          <w:tcPr>
            <w:tcW w:w="9785" w:type="dxa"/>
            <w:gridSpan w:val="21"/>
            <w:noWrap w:val="0"/>
            <w:vAlign w:val="center"/>
          </w:tcPr>
          <w:p w14:paraId="27341A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ind w:left="29" w:leftChars="14" w:firstLine="0" w:firstLineChars="0"/>
              <w:textAlignment w:val="auto"/>
              <w:rPr>
                <w:rFonts w:hint="eastAsia" w:ascii="宋体" w:hAnsi="宋体" w:eastAsia="宋体" w:cs="宋体"/>
                <w:b/>
                <w:bCs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0000"/>
                <w:kern w:val="0"/>
                <w:sz w:val="24"/>
                <w:szCs w:val="24"/>
                <w:lang w:val="en-US" w:eastAsia="zh-CN" w:bidi="ar"/>
              </w:rPr>
              <w:t>乌蒙大草原摆渡车+</w:t>
            </w:r>
            <w:r>
              <w:rPr>
                <w:rFonts w:hint="eastAsia" w:ascii="宋体" w:hAnsi="宋体" w:eastAsia="宋体" w:cs="宋体"/>
                <w:b/>
                <w:bCs/>
                <w:color w:val="FF0000"/>
                <w:kern w:val="2"/>
                <w:sz w:val="24"/>
                <w:szCs w:val="24"/>
                <w:lang w:val="en-US" w:eastAsia="zh-CN" w:bidi="ar-SA"/>
              </w:rPr>
              <w:t>峰林布依观光车+</w:t>
            </w:r>
            <w:r>
              <w:rPr>
                <w:rFonts w:hint="eastAsia" w:ascii="宋体" w:hAnsi="宋体" w:eastAsia="宋体" w:cs="宋体"/>
                <w:b/>
                <w:bCs/>
                <w:color w:val="FF0000"/>
                <w:sz w:val="24"/>
                <w:szCs w:val="24"/>
                <w:lang w:val="en-US" w:eastAsia="zh-CN"/>
              </w:rPr>
              <w:t>万峰林观光车+万峰湖游船+马岭河峡谷电梯+综合服务费：旅行社优惠价399元/人</w:t>
            </w:r>
          </w:p>
          <w:p w14:paraId="7D5681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400" w:lineRule="exact"/>
              <w:ind w:left="29" w:leftChars="14" w:firstLine="0" w:firstLineChars="0"/>
              <w:textAlignment w:val="auto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0000"/>
                <w:sz w:val="24"/>
                <w:szCs w:val="24"/>
                <w:lang w:val="en-US" w:eastAsia="zh-CN"/>
              </w:rPr>
              <w:t>（随团费一起交，报名即认可，旅行社协议打包价， 没有任何证件优惠，不去不退，不可拆解，未参加的单项不予退费，否则无法游览。）</w:t>
            </w:r>
          </w:p>
        </w:tc>
      </w:tr>
      <w:tr w14:paraId="4D1367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0" w:hRule="atLeast"/>
        </w:trPr>
        <w:tc>
          <w:tcPr>
            <w:tcW w:w="775" w:type="dxa"/>
            <w:noWrap w:val="0"/>
            <w:vAlign w:val="center"/>
          </w:tcPr>
          <w:p w14:paraId="346A2D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40" w:lineRule="exact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lang w:val="en-US" w:eastAsia="zh-CN"/>
              </w:rPr>
            </w:pPr>
          </w:p>
          <w:p w14:paraId="41EAAFC5"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  <w:t>费用</w:t>
            </w:r>
          </w:p>
          <w:p w14:paraId="53E199D3">
            <w:pPr>
              <w:pStyle w:val="3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/>
                <w:bCs/>
                <w:color w:val="5B9BD5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0"/>
                <w:sz w:val="24"/>
                <w:szCs w:val="24"/>
                <w:lang w:val="en-US" w:eastAsia="zh-CN" w:bidi="ar"/>
              </w:rPr>
              <w:t>不含</w:t>
            </w:r>
          </w:p>
        </w:tc>
        <w:tc>
          <w:tcPr>
            <w:tcW w:w="9785" w:type="dxa"/>
            <w:gridSpan w:val="21"/>
            <w:noWrap w:val="0"/>
            <w:vAlign w:val="center"/>
          </w:tcPr>
          <w:p w14:paraId="59AA71A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1.行程酒店不含单房差（不提供自然单间，产生单房差或加床费用自理）酒店不含非免费餐饮、电话、饮料、烟酒、付费电视、洗熨、行李搬运等；</w:t>
            </w:r>
          </w:p>
          <w:p w14:paraId="2D928F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 xml:space="preserve">2.当地参加的自费以及以上"费用包含"中不包含的其它项目； </w:t>
            </w:r>
          </w:p>
          <w:p w14:paraId="1782DD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textAlignment w:val="auto"/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3.旅游费用不包括旅游者因违约、自身过错、自由活动期间自身行为或疾病所引起的人身和财产损失；</w:t>
            </w:r>
          </w:p>
          <w:p w14:paraId="45BCB2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textAlignment w:val="auto"/>
              <w:rPr>
                <w:rFonts w:hint="eastAsia" w:ascii="宋体" w:hAnsi="宋体" w:eastAsia="宋体" w:cs="宋体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4.行程不包含游客自由活动期间一切交通费用及另行送站费用，如需地接公司安排需游客自理或报名时额外支付；</w:t>
            </w:r>
          </w:p>
        </w:tc>
      </w:tr>
      <w:tr w14:paraId="65565A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" w:hRule="atLeast"/>
        </w:trPr>
        <w:tc>
          <w:tcPr>
            <w:tcW w:w="10560" w:type="dxa"/>
            <w:gridSpan w:val="22"/>
            <w:shd w:val="clear" w:color="auto" w:fill="23A3BC"/>
            <w:noWrap w:val="0"/>
            <w:vAlign w:val="top"/>
          </w:tcPr>
          <w:p w14:paraId="4F7793A1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color w:val="5B9BD5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E599"/>
                <w:sz w:val="32"/>
                <w:szCs w:val="32"/>
                <w:highlight w:val="none"/>
                <w:vertAlign w:val="baseline"/>
                <w:lang w:val="en-US" w:eastAsia="zh-CN"/>
              </w:rPr>
              <w:t>特别说明</w:t>
            </w:r>
          </w:p>
        </w:tc>
      </w:tr>
      <w:tr w14:paraId="5FC52C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" w:hRule="atLeast"/>
        </w:trPr>
        <w:tc>
          <w:tcPr>
            <w:tcW w:w="10560" w:type="dxa"/>
            <w:gridSpan w:val="22"/>
            <w:noWrap w:val="0"/>
            <w:vAlign w:val="top"/>
          </w:tcPr>
          <w:p w14:paraId="41DF15A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20" w:firstLineChars="200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  <w:t>在以下不可抗力事件发生的情况下，为避免该事件对游客、旅行社权益损害，我社有权调换行程顺序、减少不可抗力事件发生地旅游景点、经双方协商解除旅游合同，涉及相关退费以旅行社行程计划为主！因不可抗力不能履行民事义务的，不承担民事责任!</w:t>
            </w:r>
          </w:p>
          <w:p w14:paraId="72FAF40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  <w:t xml:space="preserve">一、自然灾害、如台风、洪水、冰雹、凝冻； </w:t>
            </w:r>
          </w:p>
          <w:p w14:paraId="6C2D183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  <w:t xml:space="preserve">二、政府行为，如征收、征用； </w:t>
            </w:r>
          </w:p>
          <w:p w14:paraId="37782C0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  <w:t>三、社会异常事件，如罢工、骚乱；</w:t>
            </w:r>
          </w:p>
          <w:p w14:paraId="53A256B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olor w:val="FFC000"/>
                <w:sz w:val="21"/>
                <w:szCs w:val="21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kern w:val="0"/>
                <w:sz w:val="21"/>
                <w:szCs w:val="21"/>
                <w:lang w:val="en-US" w:eastAsia="zh-CN" w:bidi="ar"/>
              </w:rPr>
              <w:t>四、疫情。</w:t>
            </w:r>
          </w:p>
        </w:tc>
      </w:tr>
      <w:tr w14:paraId="6E0E79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" w:hRule="atLeast"/>
        </w:trPr>
        <w:tc>
          <w:tcPr>
            <w:tcW w:w="10560" w:type="dxa"/>
            <w:gridSpan w:val="22"/>
            <w:shd w:val="clear" w:color="auto" w:fill="23A3BC"/>
            <w:noWrap w:val="0"/>
            <w:vAlign w:val="top"/>
          </w:tcPr>
          <w:p w14:paraId="6D0D55C3">
            <w:pPr>
              <w:widowControl w:val="0"/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FFC000"/>
                <w:sz w:val="24"/>
                <w:szCs w:val="24"/>
                <w:highlight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FFE599"/>
                <w:sz w:val="32"/>
                <w:szCs w:val="32"/>
                <w:highlight w:val="none"/>
                <w:vertAlign w:val="baseline"/>
                <w:lang w:val="en-US" w:eastAsia="zh-CN"/>
              </w:rPr>
              <w:t>参团须知</w:t>
            </w:r>
          </w:p>
        </w:tc>
      </w:tr>
      <w:tr w14:paraId="313B6A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" w:hRule="atLeast"/>
        </w:trPr>
        <w:tc>
          <w:tcPr>
            <w:tcW w:w="10560" w:type="dxa"/>
            <w:gridSpan w:val="22"/>
            <w:noWrap w:val="0"/>
            <w:vAlign w:val="top"/>
          </w:tcPr>
          <w:p w14:paraId="7B594E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我社接站工作人员会提前8小时以电话或短信的方式与您联系，请保持手机畅通和注意看手机短信，工作人员送您到酒店后，请自行在酒店前台报参团时预留名字和房间数量拿房入住，等候导游短信或电话通知第二天的出发时间。酒店早餐只含双早，如有超出的敬请自理。</w:t>
            </w:r>
          </w:p>
          <w:p w14:paraId="5A65C09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请携带好身份证有效证件，儿童带好户口本。</w:t>
            </w:r>
          </w:p>
          <w:p w14:paraId="4C0F9E7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如遇不可抗拒因素或政策性调整导致无法履行时，我社有权取消或根据游客意愿更换为其它等价景点；赠送景点、赠送项目费用不退，并有权将景点及住宿顺序作相应调整。</w:t>
            </w:r>
          </w:p>
          <w:p w14:paraId="1F652A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旅游用餐多为八菜一汤或十菜一汤，十人一桌，因地域差异及个人口味差异，若有不合口味的只能是尽量让大家吃饱不能保证人人吃好。人数不足十人时，在每人用餐标准不变的前提下调整餐食的分量。行程中不含用餐时敬请自理，如因自身原因放弃用餐的，则餐费不退。</w:t>
            </w:r>
          </w:p>
          <w:p w14:paraId="597D28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本行程游客在72小时内取消旅游合同的，游客须交300元/人的车位损失费；24小时内取消旅游合同的，游客需交400元/人的房损和车位损失费。</w:t>
            </w:r>
          </w:p>
          <w:p w14:paraId="29CDC81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tabs>
                <w:tab w:val="left" w:pos="540"/>
                <w:tab w:val="left" w:pos="14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color w:val="000000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为了保证服务质量，游客在行程中若需要增加另行付费的娱乐项目或者购物的，须和地接社协商一致并在当地补签相关自愿合同或证明，敬请广大游客理性消费。</w:t>
            </w:r>
          </w:p>
          <w:p w14:paraId="7546B0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旅行社对旅游产品自主定价行为，会因出发地、报名时间、各家旅行社促销力度、机票折扣活动等诸多不同相关因素而导致报名价格不同。敬请各位游客在参团游览时不比较、不计较，保持合理的心理预期，若因参团价格差异产生的投诉，视为无效投诉，恕不处理。</w:t>
            </w:r>
          </w:p>
          <w:p w14:paraId="4D30999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贵州部分地区酒店相对于内地酒店标准偏低，如遇旺季酒店客房紧张或政府临时征用等特殊情况，我社有权调整为同等级标准酒店，全程不提供自然单间，单房差或加床费用须自理；酒店限AM12:00时退房，晚航班返程者，建议行李寄存酒店前台，自由活动或自费钟点房休息。</w:t>
            </w:r>
          </w:p>
          <w:p w14:paraId="5A1876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贵州景点多在山区，一般由市区至景区有2.5小时左右的路程。请穿着舒适的运动鞋，忌穿皮鞋等有跟儿的鞋,以防止滑倒。注意“走路不看景、看景不走路”。 .贵州全年平均12℃-16℃，最冷的1月份平均温度3℃-8℃，最热的7月份平均温度在18℃-26℃早晚温度偏低，一场雨下来凉气逼人，景区的温度相对而言要低一些，准备一件防风的外套会很有用；当地气候多雨；出行请携带雨伞；贵州地处云贵高原，紫外线强，防晒措施一定要做好。</w:t>
            </w:r>
          </w:p>
          <w:p w14:paraId="49B355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60岁以上行动不便游客（包括孕妇）和其他有身体不便的游客，出发前和旅行社签好免责协议书。</w:t>
            </w:r>
          </w:p>
          <w:p w14:paraId="6241DEB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请配合导游如实填写当地《游客意见单》，请游客认真、如实填写旅游意见反馈表，作为处理意见和问题的主要参考依据。不填或虚填者归来后的投诉将无法受理，如在行程进行中对旅行社的服务标准有异议，请尽量在当地解决。如在旅游期间在当地解决不了，可在当地备案，提醒：旅游投诉时效为返回出发地起30天内有效。</w:t>
            </w:r>
          </w:p>
          <w:p w14:paraId="1E566AC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i w:val="0"/>
                <w:caps w:val="0"/>
                <w:color w:val="auto"/>
                <w:spacing w:val="0"/>
                <w:kern w:val="0"/>
                <w:sz w:val="21"/>
                <w:szCs w:val="21"/>
                <w:shd w:val="clear" w:color="auto" w:fill="FFFFFF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尊重当地习俗，入乡随俗，在少数民族地区，应尊重当地的民族传统习俗和生活中的禁忌,以免造成不良后果；请尊重当地少数民族的生活和信仰，避免与当地居民发生冲突。黔东南地区苗族人民大多善饮而好客，大部分农户都能自酿甜酒和烧酒，以烧酒最为普遍。席间主人殷勤劝酒，若客人不饮或饮之不力，主人会不高兴。因此如果游客真不能饮,最好一开始就要讲清楚并滴酒不沾。</w:t>
            </w:r>
          </w:p>
        </w:tc>
      </w:tr>
    </w:tbl>
    <w:p w14:paraId="54A83CA4">
      <w:pPr>
        <w:spacing w:before="5" w:line="171" w:lineRule="auto"/>
        <w:ind w:right="1494"/>
        <w:jc w:val="both"/>
        <w:rPr>
          <w:rFonts w:ascii="微软雅黑" w:hAnsi="微软雅黑" w:eastAsia="微软雅黑" w:cs="微软雅黑"/>
          <w:sz w:val="18"/>
          <w:szCs w:val="18"/>
        </w:rPr>
      </w:pPr>
    </w:p>
    <w:sectPr>
      <w:headerReference r:id="rId9" w:type="default"/>
      <w:pgSz w:w="11906" w:h="16840"/>
      <w:pgMar w:top="400" w:right="0" w:bottom="400" w:left="0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华文行楷">
    <w:altName w:val="微软雅黑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幼圆">
    <w:altName w:val="宋体"/>
    <w:panose1 w:val="02010509060101010101"/>
    <w:charset w:val="86"/>
    <w:family w:val="auto"/>
    <w:pitch w:val="default"/>
    <w:sig w:usb0="00000000" w:usb1="00000000" w:usb2="00000000" w:usb3="00000000" w:csb0="00040000" w:csb1="00000000"/>
  </w:font>
  <w:font w:name="KSOF24976792">
    <w:panose1 w:val="020B0703020204020201"/>
    <w:charset w:val="86"/>
    <w:family w:val="auto"/>
    <w:pitch w:val="default"/>
    <w:sig w:usb0="00000001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A1A640">
    <w:pPr>
      <w:spacing w:line="14" w:lineRule="auto"/>
      <w:rPr>
        <w:rFonts w:ascii="Arial"/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D1C67F">
    <w:pPr>
      <w:spacing w:line="14" w:lineRule="auto"/>
      <w:rPr>
        <w:rFonts w:ascii="Arial"/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6BF446B"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028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7560310" cy="10692130"/>
          <wp:effectExtent l="0" t="0" r="0" b="0"/>
          <wp:wrapNone/>
          <wp:docPr id="4" name="IM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 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309" cy="1069238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DAC786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233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16510</wp:posOffset>
          </wp:positionV>
          <wp:extent cx="7560310" cy="10675620"/>
          <wp:effectExtent l="0" t="0" r="0" b="0"/>
          <wp:wrapNone/>
          <wp:docPr id="26" name="IM 2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 2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309" cy="1067561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 id="WordPictureWatermark12" o:spid="_x0000_s2049" o:spt="75" type="#_x0000_t75" style="position:absolute;left:0pt;margin-left:43.05pt;margin-top:233.75pt;height:88.7pt;width:362.65pt;mso-position-horizontal-relative:page;mso-position-vertical-relative:page;z-index:251663360;mso-width-relative:page;mso-height-relative:page;" filled="f" stroked="f" coordsize="21600,21600" o:allowincell="f">
          <v:path/>
          <v:fill on="f" focussize="0,0"/>
          <v:stroke on="f"/>
          <v:imagedata r:id="rId2" o:title=""/>
          <o:lock v:ext="edit" aspectratio="t"/>
        </v:shape>
      </w:pict>
    </w:r>
    <w:r>
      <w:pict>
        <v:shape id="WordPictureWatermark14" o:spid="_x0000_s2050" o:spt="75" type="#_x0000_t75" style="position:absolute;left:0pt;margin-left:174.35pt;margin-top:351.7pt;height:88.7pt;width:362.65pt;mso-position-horizontal-relative:page;mso-position-vertical-relative:page;z-index:251664384;mso-width-relative:page;mso-height-relative:page;" filled="f" stroked="f" coordsize="21600,21600" o:allowincell="f">
          <v:path/>
          <v:fill on="f" focussize="0,0"/>
          <v:stroke on="f"/>
          <v:imagedata r:id="rId3" o:title=""/>
          <o:lock v:ext="edit" aspectratio="t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CCF6A17">
    <w:pPr>
      <w:pStyle w:val="2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2AE2123"/>
    <w:multiLevelType w:val="singleLevel"/>
    <w:tmpl w:val="E2AE2123"/>
    <w:lvl w:ilvl="0" w:tentative="0">
      <w:start w:val="1"/>
      <w:numFmt w:val="decimal"/>
      <w:suff w:val="space"/>
      <w:lvlText w:val="%1."/>
      <w:lvlJc w:val="left"/>
    </w:lvl>
  </w:abstractNum>
  <w:abstractNum w:abstractNumId="1">
    <w:nsid w:val="086F1194"/>
    <w:multiLevelType w:val="singleLevel"/>
    <w:tmpl w:val="086F119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bordersDoNotSurroundHeader w:val="0"/>
  <w:bordersDoNotSurroundFooter w:val="0"/>
  <w:documentProtection w:enforcement="0"/>
  <w:displayHorizontalDrawingGridEvery w:val="1"/>
  <w:displayVerticalDrawingGridEvery w:val="1"/>
  <w:noPunctuationKerning w:val="1"/>
  <w:characterSpacingControl w:val="doNotCompress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ulTrailSpace/>
    <w:doNotExpandShiftReturn/>
    <w:doNotWrapTextWithPunct/>
    <w:doNotUseEastAsianBreakRules/>
    <w:useFELayout/>
    <w:compatSetting w:name="compatibilityMode" w:uri="http://schemas.microsoft.com/office/word" w:val="14"/>
  </w:compat>
  <w:docVars>
    <w:docVar w:name="commondata" w:val="eyJoZGlkIjoiNDFjYWE0NDUyN2IyM2MwZmVjZTMxYjEzOTlkYWRlNjMifQ=="/>
  </w:docVars>
  <w:rsids>
    <w:rsidRoot w:val="00000000"/>
    <w:rsid w:val="26635ACD"/>
    <w:rsid w:val="2E322C51"/>
    <w:rsid w:val="361727D3"/>
    <w:rsid w:val="381F135E"/>
    <w:rsid w:val="393D6412"/>
    <w:rsid w:val="412E5696"/>
    <w:rsid w:val="41F54959"/>
    <w:rsid w:val="426E51FC"/>
    <w:rsid w:val="468120F1"/>
    <w:rsid w:val="6004071F"/>
    <w:rsid w:val="638E7F62"/>
    <w:rsid w:val="65B70B5C"/>
    <w:rsid w:val="66014F78"/>
    <w:rsid w:val="6EDA38C3"/>
    <w:rsid w:val="78EF75C0"/>
    <w:rsid w:val="79316DB9"/>
    <w:rsid w:val="794C090E"/>
    <w:rsid w:val="7C6F027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autoRedefine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paragraph" w:styleId="3">
    <w:name w:val="Normal (Web)"/>
    <w:basedOn w:val="1"/>
    <w:autoRedefine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0"/>
    <w:rPr>
      <w:b/>
    </w:rPr>
  </w:style>
  <w:style w:type="table" w:customStyle="1" w:styleId="8">
    <w:name w:val="Table Normal"/>
    <w:autoRedefine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9">
    <w:name w:val="Table Text"/>
    <w:basedOn w:val="1"/>
    <w:autoRedefine/>
    <w:semiHidden/>
    <w:qFormat/>
    <w:uiPriority w:val="0"/>
    <w:rPr>
      <w:rFonts w:ascii="微软雅黑" w:hAnsi="微软雅黑" w:eastAsia="微软雅黑" w:cs="微软雅黑"/>
      <w:sz w:val="34"/>
      <w:szCs w:val="34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4.xml"/><Relationship Id="rId8" Type="http://schemas.openxmlformats.org/officeDocument/2006/relationships/header" Target="header3.xml"/><Relationship Id="rId7" Type="http://schemas.openxmlformats.org/officeDocument/2006/relationships/header" Target="header2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0" Type="http://schemas.openxmlformats.org/officeDocument/2006/relationships/fontTable" Target="fontTable.xml"/><Relationship Id="rId3" Type="http://schemas.openxmlformats.org/officeDocument/2006/relationships/footnotes" Target="footnotes.xml"/><Relationship Id="rId29" Type="http://schemas.openxmlformats.org/officeDocument/2006/relationships/numbering" Target="numbering.xml"/><Relationship Id="rId28" Type="http://schemas.openxmlformats.org/officeDocument/2006/relationships/customXml" Target="../customXml/item1.xml"/><Relationship Id="rId27" Type="http://schemas.openxmlformats.org/officeDocument/2006/relationships/image" Target="media/image21.jpeg"/><Relationship Id="rId26" Type="http://schemas.openxmlformats.org/officeDocument/2006/relationships/image" Target="media/image20.pn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pn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png"/><Relationship Id="rId14" Type="http://schemas.openxmlformats.org/officeDocument/2006/relationships/image" Target="media/image8.jpe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jpeg"/><Relationship Id="rId10" Type="http://schemas.openxmlformats.org/officeDocument/2006/relationships/theme" Target="theme/theme1.xml"/><Relationship Id="rId1" Type="http://schemas.openxmlformats.org/officeDocument/2006/relationships/styles" Target="styl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2049"/>
    <customShpInfo spid="_x0000_s2050"/>
    <customShpInfo spid="_x0000_s1026" textRotate="1"/>
    <customShpInfo spid="_x0000_s1027"/>
    <customShpInfo spid="_x0000_s1031"/>
    <customShpInfo spid="_x0000_s1033"/>
    <customShpInfo spid="_x0000_s1034"/>
    <customShpInfo spid="_x0000_s1035"/>
    <customShpInfo spid="_x0000_s1036"/>
    <customShpInfo spid="_x0000_s1037"/>
    <customShpInfo spid="_x0000_s1032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9</Pages>
  <Words>4915</Words>
  <Characters>5026</Characters>
  <TotalTime>61</TotalTime>
  <ScaleCrop>false</ScaleCrop>
  <LinksUpToDate>false</LinksUpToDate>
  <CharactersWithSpaces>5046</CharactersWithSpaces>
  <Application>WPS Office_12.1.0.25225_F1E327BC-269C-435d-A152-05C5408002CA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2025-07-17T15:17:00Z</dcterms:created>
  <dc:creator>洐雲丶蓅氺</dc:creator>
  <cp:lastModifiedBy>畅游国旅 何月19975033752</cp:lastModifiedBy>
  <dcterms:modified xsi:type="dcterms:W3CDTF">2026-04-09T07:15:42Z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wqlLaW5nc29mdCBQREYgdG8gV1BTIDExMA</vt:lpwstr>
  </property>
  <property fmtid="{D5CDD505-2E9C-101B-9397-08002B2CF9AE}" pid="3" name="Created">
    <vt:filetime>2025-07-17T15:19:51Z</vt:filetime>
  </property>
  <property fmtid="{D5CDD505-2E9C-101B-9397-08002B2CF9AE}" pid="4" name="KSOTemplateDocerSaveRecord">
    <vt:lpwstr>eyJoZGlkIjoiYWIzMGE2MjNmOTk0YTc2ZTg0ZmYxM2MwNTU1NDJkMTEiLCJ1c2VySWQiOiIxNTQ4MjM5NzUwIn0=</vt:lpwstr>
  </property>
  <property fmtid="{D5CDD505-2E9C-101B-9397-08002B2CF9AE}" pid="5" name="KSOProductBuildVer">
    <vt:lpwstr>2052-12.1.0.25225</vt:lpwstr>
  </property>
  <property fmtid="{D5CDD505-2E9C-101B-9397-08002B2CF9AE}" pid="6" name="ICV">
    <vt:lpwstr>1CAB6633DF7645CBA30F27FEC597DB06_13</vt:lpwstr>
  </property>
</Properties>
</file>